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[46],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Three further limits bound the claims. Shadow forecasts start from the state of the core, which stands for the situation picture of the operator;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