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With a Gated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for wildfire response mostly decide inside a closed decision space, a set of rules fixed before the incident. This work presents the Gated Open Decision Architecture (GODA), which extends this space by gated composition: new interventions are composed from a fixed set of executable physical effects, and a proposal enters the rule base only when the hazard model, not the proposer, forecasts a gain on reseeded futures. The decision core has a closed layer, a self-tuning Takagi-Sugeno rule base, and an open layer in which a generative model proposes rules and composed interventions and a chain of gates on shadow forecasts ranks the candidates and admits at most one object per call. On 150 paired incidents, GODA lowers burned area by 61% against the closed layer and by 24% against an evolutionary search with the same 36-forecast budget over the same grammar, raises extinguished incidents from 52% to 91%, and lowers response cost by 46% and affected population, the initial residents of burned cells, by 80%. The gated search carries most of the gain: behind the same gates, a search over the closed vocabulary reaches two thirds of it and a random proposer three quarters, whereas a hand-written doctrine over the same effects gains little; with independent gate futures the advantage is 54%. The admitted interventions recur across incidents and, recorded as rules, keep most of the gain on held-out ones. Regional agents partition the decision core, which decides in under one second between model calls.</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open decision space, simulation-based optimization, large language models, fuzzy systems, wildfire management.</w:t>
      </w:r>
    </w:p>
    <w:p w14:paraId="4AC40CD6" w14:textId="77777777" w:rsidR="00926552" w:rsidRDefault="002221CD" w:rsidP="00926552">
      <w:pPr>
        <w:pStyle w:val="Heading1"/>
      </w:pPr>
      <w:bookmarkStart w:id="2" w:name="_RefSec_I"/>
      <w:r>
        <w:rPr>
          <w:noProof/>
        </w:rPr>
        <w:t>I</w:t>
      </w:r>
      <w:bookmarkEnd w:id="2"/>
      <w:r w:rsidR="00926552">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0CC3726A" w14:textId="77777777" w:rsidR="00926552" w:rsidRDefault="0017143C" w:rsidP="0017143C">
      <w:pPr>
        <w:pStyle w:val="Text"/>
        <w:ind w:firstLine="0"/>
      </w:pPr>
      <w:r>
        <w:t xml:space="preserve">ILDFIRE response joins several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[2, 3]</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[3, 4]</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[5]</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[6, 7]</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[8, 9]</w:t>
          </w:r>
          <w:r>
            <w:fldChar w:fldCharType="end"/>
          </w:r>
        </w:sdtContent>
      </w:sdt>
      <w:r>
        <w:t xml:space="preserve">, and integrated platforms bring these parts together for field use </w:t>
      </w:r>
      <w:sdt>
        <w:sdtPr>
          <w:id w:val="-1979979992"/>
          <w:citation/>
        </w:sdtPr>
        <w:sdtEndPr/>
        <w:sdtContent>
          <w:r>
            <w:fldChar w:fldCharType="begin"/>
          </w:r>
          <w:r>
            <w:instrText xml:space="preserve"> CITATION Calkin21 \l 1033 \m NoonanWright11 </w:instrText>
          </w:r>
          <w:r>
            <w:fldChar w:fldCharType="separate"/>
          </w:r>
          <w:r w:rsidR="005401C1">
            <w:rPr>
              <w:noProof/>
            </w:rPr>
            <w:t>[4, 10]</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[13]</w:t>
          </w:r>
          <w:r>
            <w:fldChar w:fldCharType="end"/>
          </w:r>
        </w:sdtContent>
      </w:sdt>
      <w:r>
        <w:t xml:space="preserve">. GODA is therefore evaluated by comparing outcomes of the same incidents with and without the open layer.</w:t>
      </w:r>
    </w:p>
    <w:p w14:paraId="0FD8A92A"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[10]</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[14, 15, 16]</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[17]</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[18]</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[19, 20]</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[21]</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[4, 10]</w:t>
          </w:r>
          <w:r w:rsidR="00D31F60">
            <w:fldChar w:fldCharType="end"/>
          </w:r>
        </w:sdtContent>
      </w:sdt>
      <w:r w:rsidR="00D31F60">
        <w:t>, leaving the benefit of the decision mechanism unmeasured separately from forecast quality.</w:t>
      </w:r>
    </w:p>
    <w:p w14:paraId="05DE660F" w14:textId="61635A4E" w:rsidR="00C42BDB" w:rsidRDefault="00C42BDB">
      <w:pPr>
        <w:pStyle w:val="Text"/>
      </w:pPr>
      <w:r>
        <w:t xml:space="preserve">GODA answers the first limit with a gated open decision space.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3FFE10F6" w14:textId="77777777" w:rsidR="00BF605C" w:rsidRDefault="00BF605C">
      <w:pPr>
        <w:pStyle w:val="Text"/>
      </w:pPr>
      <w:r>
        <w:t xml:space="preserve">GODA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rsidRPr="006B193B">
        <w:t xml:space="preserve">GODA separates the hazard model from the decision mechanism. Hindcast against satellite fire records assesses spatial agreement, while paired comparisons on identical worlds isolate decision benefits, including under planning-model error. The paired comparisons attribute the gain among the composed vocabulary, the forecast-ranked search and the proposer, under model error and operating limits. The contributions are the executable effect grammar, the forecast-ranked search with admission gates and a doctrine record of what is admitted, and a controlled evaluation of these parts against equal-budget searches.</w:t>
      </w:r>
    </w:p>
    <w:p w14:paraId="67A67426" w14:textId="77777777" w:rsidR="00926552" w:rsidRDefault="002221CD" w:rsidP="00926552">
      <w:pPr>
        <w:pStyle w:val="Heading1"/>
      </w:pPr>
      <w:bookmarkStart w:id="3" w:name="_RefSec_II"/>
      <w:r>
        <w:rPr>
          <w:noProof/>
        </w:rPr>
        <w:t>II</w:t>
      </w:r>
      <w:bookmarkEnd w:id="3"/>
      <w:r w:rsidR="00926552">
        <w:t>. Related Work and Background</w:t>
      </w:r>
    </w:p>
    <w:p w14:paraId="77C2CA64" w14:textId="77777777" w:rsidR="00926552" w:rsidRDefault="002221CD" w:rsidP="00926552">
      <w:pPr>
        <w:pStyle w:val="Heading2"/>
      </w:pPr>
      <w:bookmarkStart w:id="4" w:name="_RefSec_II_A"/>
      <w:r>
        <w:rPr>
          <w:noProof/>
        </w:rPr>
        <w:t>A</w:t>
      </w:r>
      <w:bookmarkEnd w:id="4"/>
      <w:r w:rsidR="00926552">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[7]</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[22]</w:t>
          </w:r>
          <w:r w:rsidR="00926552">
            <w:fldChar w:fldCharType="end"/>
          </w:r>
        </w:sdtContent>
      </w:sdt>
      <w:r>
        <w:t xml:space="preserve">, and GODA's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[4, 8]</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[9]</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[10]</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[3]</w:t>
          </w:r>
          <w:r w:rsidR="00926552">
            <w:fldChar w:fldCharType="end"/>
          </w:r>
        </w:sdtContent>
      </w:sdt>
      <w:r>
        <w:t>.</w:t>
      </w:r>
    </w:p>
    <w:p w14:paraId="26A9F178"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[23]</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[3, 18]</w:t>
          </w:r>
          <w:r w:rsidR="00474D3B">
            <w:fldChar w:fldCharType="end"/>
          </w:r>
        </w:sdtContent>
      </w:sdt>
      <w:r w:rsidR="00AF4482">
        <w:t xml:space="preserve">, namely fire threat level, suppression feasibility, asset exposure risk, intervention urgency, and evacuation pressure.</w:t>
      </w:r>
      <w:r>
        <w:t xml:space="preserve">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rsidR="00926552">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[14]</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[16]</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[18]</w:t>
          </w:r>
          <w:r>
            <w:fldChar w:fldCharType="end"/>
          </w:r>
        </w:sdtContent>
      </w:sdt>
      <w:r>
        <w:t xml:space="preserve">.</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[17]</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[28]</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[29, 30]</w:t>
          </w:r>
          <w:r>
            <w:fldChar w:fldCharType="end"/>
          </w:r>
        </w:sdtContent>
      </w:sdt>
      <w:r>
        <w:t xml:space="preserve">. These approaches compose known parts within a specified basis, as do simulation-based optimization and learning for suppression planning, which search offline.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[31]</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[32]</w:t>
          </w:r>
          <w:r w:rsidR="00CB5F34">
            <w:fldChar w:fldCharType="end"/>
          </w:r>
        </w:sdtContent>
      </w:sdt>
      <w:r>
        <w:t xml:space="preserve">, keeping the evaluator independent of the proposer.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[33]</w:t>
          </w:r>
          <w:r>
            <w:fldChar w:fldCharType="end"/>
          </w:r>
        </w:sdtContent>
      </w:sdt>
      <w:r>
        <w:t xml:space="preserve"> and LLM-guided evolutionary search </w:t>
      </w:r>
      <w:sdt>
        <w:sdtPr>
          <w:id w:val="-894616777"/>
          <w:citation/>
        </w:sdtPr>
        <w:sdtEndPr/>
        <w:sdtContent>
          <w:r>
            <w:fldChar w:fldCharType="begin"/>
          </w:r>
          <w:r>
            <w:instrText xml:space="preserve"> CITATION Liu24 \l 1033 </w:instrText>
          </w:r>
          <w:r>
            <w:fldChar w:fldCharType="separate"/>
          </w:r>
          <w:r>
            <w:rPr>
              <w:noProof/>
            </w:rPr>
            <w:t>[34]</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[35]</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[36]</w:t>
          </w:r>
          <w:r>
            <w:fldChar w:fldCharType="end"/>
          </w:r>
        </w:sdtContent>
      </w:sdt>
      <w:r>
        <w:t xml:space="preserve"> and stochastic programming for initial-attack dispatch </w:t>
      </w:r>
      <w:sdt>
        <w:sdtPr>
          <w:id w:val="-621484213"/>
          <w:citation/>
        </w:sdtPr>
        <w:sdtEndPr/>
        <w:sdtContent>
          <w:r>
            <w:fldChar w:fldCharType="begin"/>
          </w:r>
          <w:r>
            <w:instrText xml:space="preserve"> CITATION Ntaimo12 \l 1033 \m Haight07 </w:instrText>
          </w:r>
          <w:r>
            <w:fldChar w:fldCharType="separate"/>
          </w:r>
          <w:r>
            <w:rPr>
              <w:noProof/>
            </w:rPr>
            <w:t>[37, 38]</w:t>
          </w:r>
          <w:r>
            <w:fldChar w:fldCharType="end"/>
          </w:r>
        </w:sdtContent>
      </w:sdt>
      <w:r>
        <w:t xml:space="preserve"> and mixed-integer models of suppression placement </w:t>
      </w:r>
      <w:sdt>
        <w:sdtPr>
          <w:id w:val="-934007746"/>
          <w:citation/>
        </w:sdtPr>
        <w:sdtEndPr/>
        <w:sdtContent>
          <w:r>
            <w:fldChar w:fldCharType="begin"/>
          </w:r>
          <w:r>
            <w:instrText xml:space="preserve"> CITATION Belval15 \l 1033 </w:instrText>
          </w:r>
          <w:r>
            <w:fldChar w:fldCharType="separate"/>
          </w:r>
          <w:r>
            <w:rPr>
              <w:noProof/>
            </w:rPr>
            <w:t>[39]</w:t>
          </w:r>
          <w:r>
            <w:fldChar w:fldCharType="end"/>
          </w:r>
        </w:sdtContent>
      </w:sdt>
      <w:r>
        <w:t xml:space="preserve"> also search a fixed vocabulary, but offline, whereas the search here runs during the incident on its forecasts.</w:t>
      </w:r>
    </w:p>
    <w:p w14:paraId="75DEE978"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[40]</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[41]</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[42]</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[43]</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[44]</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[45]</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[46]</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[47]</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[48]</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[49]</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[50]</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BC9378" w14:textId="77777777" w:rsidR="00C63C9D" w:rsidRDefault="002221CD">
      <w:pPr>
        <w:pStyle w:val="Heading1"/>
      </w:pPr>
      <w:bookmarkStart w:id="8" w:name="_RefSec_III"/>
      <w:r>
        <w:rPr>
          <w:noProof/>
        </w:rPr>
        <w:t>III</w:t>
      </w:r>
      <w:bookmarkEnd w:id="8"/>
      <w:r w:rsidR="00116384">
        <w:t>. System Architecture</w:t>
      </w:r>
    </w:p>
    <w:p w14:paraId="12722968" w14:textId="77777777" w:rsidR="00C63C9D" w:rsidRDefault="002221CD" w:rsidP="00AD5871">
      <w:pPr>
        <w:pStyle w:val="Heading2"/>
      </w:pPr>
      <w:bookmarkStart w:id="9" w:name="_RefSec_III_A"/>
      <w:r>
        <w:rPr>
          <w:noProof/>
        </w:rPr>
        <w:t>A</w:t>
      </w:r>
      <w:bookmarkEnd w:id="9"/>
      <w:r w:rsidR="00D31F60">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w:t>
      </w:r>
      <w:r>
        <w:lastRenderedPageBreak/>
        <w:t xml:space="preserve">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[51]</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 Both layers reason from the observation, the closed layer through its features and the open layer through shadow forecasts, which the decision core runs on its own copy of the hazard model, the shadow core.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supports shadow forecasts. The same random states isolate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3B260BB8" w14:textId="77777777" w:rsidR="00A3331E" w:rsidRDefault="002221CD">
      <w:pPr>
        <w:pStyle w:val="Heading2"/>
      </w:pPr>
      <w:bookmarkStart w:id="14" w:name="_RefSec_III_B"/>
      <w:r>
        <w:rPr>
          <w:noProof/>
        </w:rPr>
        <w:t>B</w:t>
      </w:r>
      <w:bookmarkEnd w:id="14"/>
      <w:r w:rsidR="00D31F60">
        <w:t>. State, Transition, and Spread</w:t>
      </w:r>
    </w:p>
    <w:p w14:paraId="3D9C54E8"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6</w:t>
      </w:r>
      <w:r>
        <w:fldChar w:fldCharType="end"/>
      </w:r>
      <w:r>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7</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w:t>
      </w:r>
      <w:r>
        <w:t xml:space="preserve"> Removal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[52]</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[53]</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bl>
    <w:p w14:paraId="2D64B8C0" w14:textId="77777777" w:rsidR="00096354" w:rsidRDefault="00096354">
      <w:pPr>
        <w:pStyle w:val="Text"/>
        <w:rPr>
          <w:sz w:val="12"/>
          <w:szCs w:val="12"/>
        </w:rPr>
      </w:pPr>
    </w:p>
    <w:p w14:paraId="0C105F77" w14:textId="77777777" w:rsidR="00096354" w:rsidRDefault="00D31F60">
      <w:pPr>
        <w:pStyle w:val="Text"/>
      </w:pPr>
      <w:r>
        <w:t xml:space="preserve">The intensity proxy is a bounded function</w:t>
      </w:r>
      <w:r>
        <w:t xml:space="preserve"> of fuel, wind speed and slope after Byram </w:t>
      </w:r>
      <w:sdt>
        <w:sdtPr>
          <w:id w:val="-1979969895"/>
          <w:citation/>
        </w:sdtPr>
        <w:sdtEndPr/>
        <w:sdtContent>
          <w:r>
            <w:fldChar w:fldCharType="begin"/>
          </w:r>
          <w:r>
            <w:instrText xml:space="preserve"> CITATION Byram59 \l 1033 </w:instrText>
          </w:r>
          <w:r>
            <w:fldChar w:fldCharType="separate"/>
          </w:r>
          <w:r w:rsidR="005401C1">
            <w:rPr>
              <w:noProof/>
            </w:rPr>
            <w:t>[54]</w:t>
          </w:r>
          <w:r>
            <w:fldChar w:fldCharType="end"/>
          </w:r>
        </w:sdtContent>
      </w:sdt>
      <w:r>
        <w:t xml:space="preserve">, parameterized in </w:t>
      </w:r>
      <w:sdt>
        <w:sdtPr>
          <w:id w:val="-1979969894"/>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and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bl>
    <w:p w14:paraId="29F7AD1B" w14:textId="77777777" w:rsidR="00096354" w:rsidRDefault="00096354">
      <w:pPr>
        <w:pStyle w:val="Text"/>
        <w:rPr>
          <w:sz w:val="12"/>
          <w:szCs w:val="12"/>
        </w:rPr>
      </w:pPr>
    </w:p>
    <w:p w14:paraId="1DB8B1C3" w14:textId="77777777" w:rsidR="00096354" w:rsidRDefault="00D31F60">
      <w:pPr>
        <w:pStyle w:val="Text"/>
      </w:pPr>
      <w:r>
        <w:t>The clock in (</w:t>
      </w:r>
      <w:r>
        <w:fldChar w:fldCharType="begin"/>
      </w:r>
      <w:r>
        <w:instrText xml:space="preserve"> REF _RefEqN_tau \h \* CHARFORMAT </w:instrText>
      </w:r>
      <w:r>
        <w:fldChar w:fldCharType="separate"/>
      </w:r>
      <w:r w:rsidR="001C6998">
        <w:t>6</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6</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r>
      <w:r>
        <w:fldChar w:fldCharType="begin"/>
      </w:r>
      <w:r>
        <w:instrText xml:space="preserve"> REF _RefEqN_psi \h \* CHARFORMAT </w:instrText>
      </w:r>
      <w:r>
        <w:fldChar w:fldCharType="separate"/>
      </w:r>
      <w:r w:rsidR="001C6998">
        <w:t>7</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8</w:t>
      </w:r>
      <w:r>
        <w:fldChar w:fldCharType="end"/>
      </w:r>
      <w:r>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over wind, slope, aspect, moisture, and fuel type. Each front substep spans at most one cell, and spread rates are expressed in cell lengths per substep, so Ψk and Θign are dimensionless;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7</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8</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rsidR="00D31F60">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The open layer operates on the shared rule base once per cycle, using the situation of the burning region with the weakest rule coverage.</w:t>
      </w:r>
    </w:p>
    <w:p w14:paraId="486DC299" w14:textId="77777777" w:rsidR="00C63C9D" w:rsidRDefault="002221CD" w:rsidP="0010774A">
      <w:pPr>
        <w:pStyle w:val="Heading2"/>
      </w:pPr>
      <w:bookmarkStart w:id="24" w:name="_RefSec_IV_A"/>
      <w:r>
        <w:rPr>
          <w:noProof/>
        </w:rPr>
        <w:t>A</w:t>
      </w:r>
      <w:bookmarkEnd w:id="24"/>
      <w:r w:rsidR="00D31F60">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9</w:t>
      </w:r>
      <w:r w:rsidR="00D31F60">
        <w:fldChar w:fldCharType="end"/>
      </w:r>
      <w:r>
        <w:t xml:space="preserve">), namely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10</w:t>
      </w:r>
      <w:r w:rsidR="00D31F60">
        <w:fldChar w:fldCharType="end"/>
      </w:r>
      <w:r>
        <w:t xml:space="preserve">).</w:t>
      </w:r>
    </w:p>
    <w:p w14:paraId="69E58B39" w14:textId="77777777" w:rsidR="00510E30" w:rsidRDefault="00D31F60">
      <w:pPr>
        <w:pStyle w:val="Text"/>
      </w:pPr>
      <w:r>
        <w:t xml:space="preserve">Extraction maps and their constants, which follow the fire-weather index [55] and the operational priority method [56],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9</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10</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9</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10</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rsidR="00B94C98">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15</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20</w:t>
      </w:r>
      <w:r w:rsidR="00A436DD">
        <w:fldChar w:fldCharType="end"/>
      </w:r>
      <w:r w:rsidR="00A436DD">
        <w:t>). Each feature is fuzzified over a five-term partition of unity.</w:t>
      </w:r>
    </w:p>
    <w:p w14:paraId="7035D480" w14:textId="77777777" w:rsidR="00C63C9D" w:rsidRDefault="00A436DD">
      <w:pPr>
        <w:pStyle w:val="Text"/>
      </w:pPr>
      <w:r>
        <w:t>The hierarchy in (</w:t>
      </w:r>
      <w:r>
        <w:fldChar w:fldCharType="begin"/>
      </w:r>
      <w:r>
        <w:instrText xml:space="preserve"> REF _RefEqN_sets \h \* CHARFORMAT </w:instrText>
      </w:r>
      <w:r>
        <w:fldChar w:fldCharType="separate"/>
      </w:r>
      <w:r w:rsidR="001C6998">
        <w:t>11</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12</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13</w:t>
      </w:r>
      <w:r>
        <w:fldChar w:fldCharType="end"/>
      </w:r>
      <w:r>
        <w:t>), used by (</w:t>
      </w:r>
      <w:r>
        <w:fldChar w:fldCharType="begin"/>
      </w:r>
      <w:r>
        <w:instrText xml:space="preserve"> REF _RefEqN_sat \h \* CHARFORMAT </w:instrText>
      </w:r>
      <w:r>
        <w:fldChar w:fldCharType="separate"/>
      </w:r>
      <w:r w:rsidR="001C6998">
        <w:t>15</w:t>
      </w:r>
      <w:r>
        <w:fldChar w:fldCharType="end"/>
      </w:r>
      <w:r>
        <w:t>), (</w:t>
      </w:r>
      <w:r>
        <w:fldChar w:fldCharType="begin"/>
      </w:r>
      <w:r>
        <w:instrText xml:space="preserve"> REF _RefEqN_adapt \h \* CHARFORMAT </w:instrText>
      </w:r>
      <w:r>
        <w:fldChar w:fldCharType="separate"/>
      </w:r>
      <w:r w:rsidR="001C6998">
        <w:t>16</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11</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12</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11</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12</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rsidR="00A13A12">
        <w:t>. The Closed Decision Layer</w:t>
      </w:r>
    </w:p>
    <w:p w14:paraId="06760020"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13</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Rules use weakest-clause firing, firing-weighted averaging and a denominator floor of one. Execution maps the families to the physical effects of Section IV-D: suppression effort wets the active fire cells, resource deployment raises availability and shortens travel time, containment line clears a band of diggable ground ahead of the front, asset protection wets the ground around threatened assets, and evacuation and public warning issue the evacuate and prime orders. Coating, ignition and drafting are reached only through composed interventions.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13</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r>
      <w:r>
        <w:fldChar w:fldCharType="begin"/>
      </w:r>
      <w:r>
        <w:instrText xml:space="preserve"> REF _RefEqN_rule \h \* CHARFORMAT </w:instrText>
      </w:r>
      <w:r>
        <w:fldChar w:fldCharType="separate"/>
      </w:r>
      <w:r w:rsidR="001C6998">
        <w:t>13</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w:t>
      </w:r>
      <w:r>
        <w:t xml:space="preserve">A rule names one to three concepts and leaves the others unconstrained; an antecedent is a single term or</w:t>
      </w:r>
      <w:r>
        <w:t xml:space="preserve">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15</w:t>
      </w:r>
      <w:r w:rsidR="00421B34">
        <w:rPr>
          <w:noProof/>
        </w:rPr>
        <w:fldChar w:fldCharType="end"/>
      </w:r>
      <w:r>
        <w:rPr>
          <w:noProof/>
        </w:rPr>
        <w:t xml:space="preserve">)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16</w:t>
      </w:r>
      <w:r w:rsidR="00421B34">
        <w:rPr>
          <w:noProof/>
        </w:rPr>
        <w:fldChar w:fldCharType="end"/>
      </w:r>
      <w:r>
        <w:rPr>
          <w:noProof/>
        </w:rPr>
        <w:t xml:space="preserve">) answers an unmet acceptance test.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Decision layer 1, the closed decision space.</w:t>
                        </w:r>
                      </w:p>
                    </w:txbxContent>
                  </v:textbox>
                </v:shape>
                <w10:wrap type="square" anchorx="margin" anchory="margin"/>
              </v:group>
            </w:pict>
          </mc:Fallback>
        </mc:AlternateContent>
      </w:r>
      <w:r w:rsidR="00D31F60">
        <w:t xml:space="preserve">Every candidate is evaluated by shadow forecast. The decision cost in (</w:t>
      </w:r>
      <w:r w:rsidR="0092569A">
        <w:fldChar w:fldCharType="begin"/>
      </w:r>
      <w:r w:rsidR="0092569A">
        <w:instrText xml:space="preserve"> REF _RefEqN_cost \h \* CHARFORMAT </w:instrText>
      </w:r>
      <w:r w:rsidR="0092569A">
        <w:fldChar w:fldCharType="separate"/>
      </w:r>
      <w:r w:rsidR="001C6998">
        <w:t>14</w:t>
      </w:r>
      <w:r w:rsidR="0092569A">
        <w:fldChar w:fldCharType="end"/>
      </w:r>
      <w:r w:rsidR="00D31F60">
        <w:t xml:space="preserve">) combines five bounded terms, namely burned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rsidR="00D31F60">
        <w:t xml:space="preserve">, for comparing configurations, since inaction incurs no response cost.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num>
                  <m:den>
                    <m:r>
                      <w:rPr>
                        <w:rFonts w:ascii="Cambria Math" w:hAnsi="Cambria Math"/>
                      </w:rPr>
                      <m:t xml:space="preserve">1</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14</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15</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15</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15</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r>
      <w:r>
        <w:fldChar w:fldCharType="begin"/>
      </w:r>
      <w:r>
        <w:instrText xml:space="preserve"> REF _RefEqN_cost \h \* CHARFORMAT </w:instrText>
      </w:r>
      <w:r>
        <w:fldChar w:fldCharType="separate"/>
      </w:r>
      <w:r w:rsidR="001C6998">
        <w:t>14</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p>
    <w:p w14:paraId="55CE9ECF" w14:textId="77777777" w:rsidR="002D62AF" w:rsidRDefault="00D31F60" w:rsidP="002D62AF">
      <w:pPr>
        <w:pStyle w:val="Text"/>
      </w:pPr>
      <w:r>
        <w:t>In (</w:t>
      </w:r>
      <w:r>
        <w:fldChar w:fldCharType="begin"/>
      </w:r>
      <w:r>
        <w:instrText xml:space="preserve"> REF _RefEqN_sat \h \* CHARFORMAT </w:instrText>
      </w:r>
      <w:r>
        <w:fldChar w:fldCharType="separate"/>
      </w:r>
      <w:r w:rsidR="001C6998">
        <w:t>15</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16</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16</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16</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rsidR="00D31F60">
        <w:t>. The Open Decision Layer</w:t>
      </w:r>
    </w:p>
    <w:p w14:paraId="3A0ADA20" w14:textId="6AECF8F5"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16</w:t>
      </w:r>
      <w:r>
        <w:fldChar w:fldCharType="end"/>
      </w:r>
      <w:r>
        <w:t xml:space="preserve">), tuning followed by a new rule, are tried before requesting a proposal. The open layer then generates candidates and passes every one of them through the gate chain on shadow forecasts; the best survivor is admitted.</w:t>
      </w:r>
    </w:p>
    <w:p w14:paraId="4D5EC8C7"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17</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17</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Decision layer 2, the open decision space.</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17</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13</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or a composed intervention. Macro components enter their family's numerator and denominator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17</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18</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18</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w:t>
      </w:r>
      <w:r>
        <w:t xml:space="preserve">denotes such a neighborhood</w:t>
      </w:r>
      <w:r>
        <w:t xml:space="preserve">.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t xml:space="preserve">The gate chain has eight gates. G1 rejects objects that do not parse into the vocabulary; G2 rejects unknown effects or sectors and duplicates; G3 requires the rule to fire on the current reading; G4 enforces the free pool.</w:t>
      </w:r>
    </w:p>
    <w:p w14:paraId="111D9082"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19</w:t>
      </w:r>
      <w:r w:rsidR="00D31F60">
        <w:fldChar w:fldCharType="end"/>
      </w:r>
      <w:r>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G7 and G8 apply to packages, and a plain rule is admitted on G1 to G6. Rejection returns the gate name and forecast values. Admitted objects join the rule base, with their origin and gate values logged, and fire in later cycles. Recorded as doctrine, they can also serve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19</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δadm a small positive margin that excludes ties,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19</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r>
      <w:r>
        <w:fldChar w:fldCharType="begin"/>
      </w:r>
      <w:r>
        <w:instrText xml:space="preserve"> REF _RefEqN_gates \h \* CHARFORMAT </w:instrText>
      </w:r>
      <w:r>
        <w:fldChar w:fldCharType="separate"/>
      </w:r>
      <w:r w:rsidR="001C6998">
        <w:t>19</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17</w:t>
      </w:r>
      <w:r>
        <w:fldChar w:fldCharType="end"/>
      </w:r>
      <w:r>
        <w:t xml:space="preserve">). Up to three additional forecasts evaluate the best candidates on the second future, and the candidate with the greatest gain on its worse future completes G5 to G8. A call admits at most one object and admits nothing when no candidate gains on both futures.</w:t>
      </w:r>
    </w:p>
    <w:p w14:paraId="504F557D" w14:textId="77777777" w:rsidR="00720E67" w:rsidRDefault="006D7408">
      <w:pPr>
        <w:pStyle w:val="Text"/>
      </w:pPr>
      <w:r>
        <w:t xml:space="preserve">A variation retains the candidate except for one component: for a composed intervention, a clause's effect, sector, band or amount, a consequent intensity, or the antecedents; for a rule or macro, an intensity or the antecedents.</w:t>
      </w:r>
      <w:r>
        <w:t xml:space="preserve"> For both proposers, at most one candidate per call is admitted, and most rejections occur at G1 to G4 and at the first forecast.</w:t>
      </w:r>
    </w:p>
    <w:p w14:paraId="32FCECCD" w14:textId="77777777" w:rsidR="00F30F81" w:rsidRDefault="00D31F60">
      <w:pPr>
        <w:pStyle w:val="Text"/>
      </w:pPr>
      <w:r>
        <w:t xml:space="preserve">Candidate fields are compared with inaction over the 45 min guard horizon, as in G5 to G8; acceptance in (</w:t>
      </w:r>
      <w:r>
        <w:fldChar w:fldCharType="begin"/>
      </w:r>
      <w:r>
        <w:instrText xml:space="preserve"> REF _RefEqN_sat \h \* CHARFORMAT </w:instrText>
      </w:r>
      <w:r>
        <w:fldChar w:fldCharType="separate"/>
      </w:r>
      <w:r w:rsidR="001C6998">
        <w:t>15</w:t>
      </w:r>
      <w:r>
        <w:fldChar w:fldCharType="end"/>
      </w:r>
      <w:r>
        <w:t xml:space="preserve">) uses the shorter planning horizon, and a worse field is restricted to life-safety orders.</w:t>
      </w:r>
    </w:p>
    <w:p w14:paraId="2C15330A" w14:textId="77777777" w:rsidR="00C63C9D" w:rsidRDefault="002221CD" w:rsidP="00656248">
      <w:pPr>
        <w:pStyle w:val="Heading2"/>
      </w:pPr>
      <w:bookmarkStart w:id="46" w:name="_RefSec_IV_E"/>
      <w:r>
        <w:rPr>
          <w:noProof/>
        </w:rPr>
        <w:t>E</w:t>
      </w:r>
      <w:bookmarkEnd w:id="46"/>
      <w:r w:rsidR="0083545B">
        <w:t>. Local Agents and Global Coordination</w:t>
      </w:r>
    </w:p>
    <w:p w14:paraId="4453D3CF"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20</w:t>
      </w:r>
      <w:r>
        <w:fldChar w:fldCharType="end"/>
      </w:r>
      <w:r>
        <w:t xml:space="preserve">) by priority, scaling suppression effort and resource deployment. Monitored regions face a stricter quality threshold. The coordinator bounds regional draws from G4’s funded pool.</w:t>
      </w:r>
      <w:r>
        <w:t xml:space="preserve"> The merged field in (</w:t>
      </w:r>
      <w:r>
        <w:fldChar w:fldCharType="begin"/>
      </w:r>
      <w:r>
        <w:instrText xml:space="preserve"> REF _RefEqN_merge \h \* CHARFORMAT </w:instrText>
      </w:r>
      <w:r>
        <w:fldChar w:fldCharType="separate"/>
      </w:r>
      <w:r w:rsidR="001C6998">
        <w:t>21</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preserving life-safety orders. In (</w:t>
      </w:r>
      <w:r w:rsidR="00ED6FA9">
        <w:fldChar w:fldCharType="begin"/>
      </w:r>
      <w:r w:rsidR="00ED6FA9">
        <w:instrText xml:space="preserve"> REF _RefEqN_share \h \* CHARFORMAT </w:instrText>
      </w:r>
      <w:r w:rsidR="00ED6FA9">
        <w:fldChar w:fldCharType="separate"/>
      </w:r>
      <w:r w:rsidR="001C6998">
        <w:t>20</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21</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20</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21</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9</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10</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13</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and forecast on the shadow core,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16</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19</w:t>
            </w:r>
            <w:r>
              <w:rPr>
                <w:sz w:val="16"/>
                <w:szCs w:val="16"/>
              </w:rPr>
              <w:fldChar w:fldCharType="end"/>
            </w:r>
            <w:r>
              <w:rPr>
                <w:sz w:val="16"/>
                <w:szCs w:val="16"/>
              </w:rPr>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20</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rsidR="00926552">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II</w:t>
      </w:r>
      <w:r>
        <w:fldChar w:fldCharType="end"/>
      </w:r>
      <w:r>
        <w:t xml:space="preserve"> defines S1–S5 for the main campaign and S6–S8 for transfer. Each family has 30 worlds (seeds 201–230); development uses 101–120, on which the thresholds, horizons and the search budget were set and then left unchanged. The rule base starts from the five seeds in every world. Each comparison pairs identical worlds and random states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 xml:space="preserve">Table III</w:t>
      </w:r>
      <w:r>
        <w:fldChar w:fldCharType="end"/>
      </w:r>
      <w:r>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and carry terrain, standard fuel models, settlements with population, roads and water sources; winds of 8 to 12 m/s and dead fuel moisture of 6 to 8% give dry, windy conditions. The physical step is 2 min, the decision interval 12 min, the planning horizon 24 min and the guard horizon 45 min. Episodes end at extinction or the duration in </w:t>
      </w:r>
      <w:r>
        <w:fldChar w:fldCharType="begin"/>
      </w:r>
      <w:r>
        <w:instrText>REF _RefTab_scen \h</w:instrText>
      </w:r>
      <w:r>
        <w:fldChar w:fldCharType="separate"/>
      </w:r>
      <w:r w:rsidR="001C6998">
        <w:t xml:space="preserve">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Confidence is multiplied by 0.8 for every reading.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 xml:space="preserve">Interface / 12, degraded observation</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17</w:t>
      </w:r>
      <w:r>
        <w:fldChar w:fldCharType="end"/>
      </w:r>
      <w:r>
        <w:t xml:space="preserve">). The reported runs call Claude Opus 5 through Claude Code, one turn per request and tools disabled. The behavior of hosted language models drifts across versions </w:t>
      </w:r>
      <w:sdt>
        <w:sdtPr>
          <w:id w:val="-314533478"/>
          <w:citation/>
        </w:sdtPr>
        <w:sdtEndPr/>
        <w:sdtContent>
          <w:r>
            <w:fldChar w:fldCharType="begin"/>
          </w:r>
          <w:r>
            <w:instrText xml:space="preserve"> CITATION Chen24 \l 1033 </w:instrText>
          </w:r>
          <w:r>
            <w:fldChar w:fldCharType="separate"/>
          </w:r>
          <w:r>
            <w:rPr>
              <w:noProof/>
            </w:rPr>
            <w:t>[57]</w:t>
          </w:r>
          <w:r>
            <w:fldChar w:fldCharType="end"/>
          </w:r>
        </w:sdtContent>
      </w:sdt>
      <w:r>
        <w:t xml:space="preserve">, so the model name is recorded and the repeat run of Table VII reports the run-to-run change. A request asks for six candidates. Full search allows 36 first-future forecasts and up to three additional finalist evaluations; the candidate-only configuration omits variations, and the small random control sets its search budget to six before the finalist forecasts. Single-candidate controls submit one random or LLM candidate to the gates; ungated variants admit the random or LLM candidate after G1 to G4 alone, with the no-harm guard still in place. Two further random controls keep the budget and the gates: one samples rules and macros only, so that it searches the closed vocabulary over the six families, and the other replaces the six model candidates by six uniform samples and spends the rest of the budget on the same variations. An evolutionary search over the same grammar, a population of 12 over three generations with tournament selection, mutation and clause crossover, uses the same budget and gates. The repeat uses the same worlds; the independent-future test selects the best candidate on the two standard shadow streams and completes G5 to G8 on two further streams, so the final test does not reuse the futures of the selection. Shadow streams are separate from the world seeds.</w:t>
      </w:r>
    </w:p>
    <w:p w14:paraId="67DDAB02"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14</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rate, raises fuel moisture and decays by 0.003 per min. The quality threshold η is 0.60, the cost ceiling JTH 0.35, the required gain over inaction δgain 5%.</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the nominal model. One test changes the structure of the spread model: the live world runs a cosine propagation kernel without the wind-elongated ellipse and a short, frequent ember model (three cells, probability 0.06 per step), while every shadow forecast plans on the nominal kernel and ember model.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Each setting has its own paired Closed reference. The 40-rule control comprises the five seeds and 35 additional rules over the same families. A second hand-written control extends the five seeds with the six composed tactics of </w:t>
      </w:r>
      <w:r>
        <w:fldChar w:fldCharType="begin"/>
      </w:r>
      <w:r>
        <w:instrText xml:space="preserve"> REF _RefTab_expert \h </w:instrText>
      </w:r>
      <w:r>
        <w:fldChar w:fldCharType="separate"/>
      </w:r>
      <w:r>
        <w:t>Table IV</w:t>
      </w:r>
      <w:r>
        <w:fldChar w:fldCharType="end"/>
      </w:r>
      <w:r>
        <w:t xml:space="preserve">, written from initial-attack practice over the seven effects; each is a rule of the doctrine that fires on its antecedent and places its clauses by sector and band like any composed intervention. Doctrine tests compare recorded tactics, family withholding, continued generation and object-removal replay.</w:t>
      </w:r>
    </w:p>
    <w:p w14:paraId="79CA6991" w14:textId="77777777" w:rsidR="00FF0CB1" w:rsidRDefault="00DB0B75">
      <w:pPr>
        <w:pStyle w:val="Text"/>
        <w:spacing w:line="240" w:lineRule="auto"/>
        <w:rPr>
          <w:noProof/>
        </w:rPr>
      </w:pPr>
      <w:r>
        <w:t xml:space="preserve">Timing runs use one process on a desktop CPU (Intel Core i9-10900K, 32 GB RAM, Python 3.14). The CPU harness uses a local structured proposer to isolate computation; its grid, horizon and proposer differ from the campaign and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 xml:space="preserve">Closed / GODA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VI</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37032A11" w14:textId="3322DFE5" w:rsidR="003E3FD9" w:rsidRDefault="00D31F60" w:rsidP="00C83E79">
      <w:pPr>
        <w:pStyle w:val="TableTitle"/>
        <w:keepNext/>
        <w:spacing w:before="120"/>
      </w:pPr>
      <w:bookmarkStart w:id="93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934"/>
    </w:p>
    <w:p w14:paraId="6576F19A"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456"/>
        <w:gridCol w:w="2233"/>
      </w:tblGrid>
      <w:tr w:rsidR="003E3FD9" w14:paraId="04D928E4" w14:textId="77777777" w:rsidTr="009467D2">
        <w:trPr>
          <w:cantSplit/>
          <w:jc w:val="center"/>
        </w:trPr>
        <w:tc>
          <w:tcPr>
            <w:tcW w:w="1200" w:type="pct"/>
          </w:tcPr>
          <w:p w14:paraId="4A925045" w14:textId="77777777" w:rsidR="003E3FD9" w:rsidRDefault="001D185A" w:rsidP="00C83E79">
            <w:r>
              <w:rPr>
                <w:b/>
                <w:sz w:val="15"/>
                <w:szCs w:val="15"/>
              </w:rPr>
              <w:t xml:space="preserve">Tactic, intensity</w:t>
            </w:r>
          </w:p>
        </w:tc>
        <w:tc>
          <w:tcPr>
            <w:tcW w:w="1500" w:type="pct"/>
          </w:tcPr>
          <w:p w14:paraId="2431828A" w14:textId="77777777" w:rsidR="003E3FD9" w:rsidRDefault="00D31F60" w:rsidP="00C83E79">
            <w:pPr>
              <w:jc w:val="center"/>
            </w:pPr>
            <w:r>
              <w:rPr>
                <w:b/>
                <w:sz w:val="15"/>
                <w:szCs w:val="15"/>
              </w:rPr>
              <w:t xml:space="preserve">Antecedent</w:t>
            </w:r>
          </w:p>
        </w:tc>
        <w:tc>
          <w:tcPr>
            <w:tcW w:w="2300" w:type="pct"/>
          </w:tcPr>
          <w:p w14:paraId="21260920" w14:textId="77777777" w:rsidR="003E3FD9" w:rsidRDefault="00D31F60" w:rsidP="00C83E79">
            <w:pPr>
              <w:jc w:val="center"/>
            </w:pPr>
            <w:r>
              <w:rPr>
                <w:b/>
                <w:sz w:val="15"/>
                <w:szCs w:val="15"/>
              </w:rPr>
              <w:t xml:space="preserve">Clauses, effect sector band amount</w:t>
            </w:r>
          </w:p>
        </w:tc>
      </w:tr>
      <w:tr w:rsidR="003E3FD9" w14:paraId="7A65AE9C" w14:textId="77777777" w:rsidTr="009467D2">
        <w:trPr>
          <w:cantSplit/>
          <w:jc w:val="center"/>
        </w:trPr>
        <w:tc>
          <w:tcPr>
            <w:tcW w:w="1200" w:type="pct"/>
          </w:tcPr>
          <w:p w14:paraId="084D7D6A" w14:textId="77777777" w:rsidR="003E3FD9" w:rsidRDefault="00D31F60" w:rsidP="00C83E79">
            <w:r>
              <w:rPr>
                <w:sz w:val="15"/>
                <w:szCs w:val="15"/>
              </w:rPr>
              <w:t xml:space="preserve">head retardant line, 1.0</w:t>
            </w:r>
          </w:p>
        </w:tc>
        <w:tc>
          <w:tcPr>
            <w:tcW w:w="1500" w:type="pct"/>
          </w:tcPr>
          <w:p w14:paraId="6EB5C564" w14:textId="77777777" w:rsidR="003E3FD9" w:rsidRDefault="00D31F60" w:rsidP="00C83E79">
            <w:pPr>
              <w:jc w:val="center"/>
            </w:pPr>
            <w:r>
              <w:rPr>
                <w:sz w:val="15"/>
                <w:szCs w:val="15"/>
              </w:rPr>
              <w:t xml:space="preserve">fire threat high</w:t>
            </w:r>
          </w:p>
        </w:tc>
        <w:tc>
          <w:tcPr>
            <w:tcW w:w="2300" w:type="pct"/>
          </w:tcPr>
          <w:p w14:paraId="36DCA094" w14:textId="77777777" w:rsidR="003E3FD9" w:rsidRDefault="00D31F60" w:rsidP="00C83E79">
            <w:pPr>
              <w:jc w:val="center"/>
            </w:pPr>
            <w:r>
              <w:rPr>
                <w:sz w:val="15"/>
                <w:szCs w:val="15"/>
              </w:rPr>
              <w:t xml:space="preserve">coat head 2–6 1.0</w:t>
            </w:r>
          </w:p>
        </w:tc>
      </w:tr>
      <w:tr w:rsidR="003E3FD9" w14:paraId="33AFFA0D" w14:textId="77777777" w:rsidTr="009467D2">
        <w:trPr>
          <w:cantSplit/>
          <w:jc w:val="center"/>
        </w:trPr>
        <w:tc>
          <w:tcPr>
            <w:tcW w:w="1200" w:type="pct"/>
          </w:tcPr>
          <w:p w14:paraId="7A9BDF52" w14:textId="77777777" w:rsidR="003E3FD9" w:rsidRDefault="00D31F60" w:rsidP="00C83E79">
            <w:r>
              <w:rPr>
                <w:sz w:val="15"/>
                <w:szCs w:val="15"/>
              </w:rPr>
              <w:t xml:space="preserve">structure protection, 1.0</w:t>
            </w:r>
          </w:p>
        </w:tc>
        <w:tc>
          <w:tcPr>
            <w:tcW w:w="1500" w:type="pct"/>
          </w:tcPr>
          <w:p w14:paraId="1EB7059D" w14:textId="77777777" w:rsidR="003E3FD9" w:rsidRDefault="00D31F60" w:rsidP="00C83E79">
            <w:pPr>
              <w:jc w:val="center"/>
            </w:pPr>
            <w:r>
              <w:rPr>
                <w:sz w:val="15"/>
                <w:szCs w:val="15"/>
              </w:rPr>
              <w:t xml:space="preserve">asset exposure high</w:t>
            </w:r>
          </w:p>
        </w:tc>
        <w:tc>
          <w:tcPr>
            <w:tcW w:w="2300" w:type="pct"/>
          </w:tcPr>
          <w:p w14:paraId="32B3FD56" w14:textId="77777777" w:rsidR="003E3FD9" w:rsidRDefault="00D31F60" w:rsidP="00C83E79">
            <w:pPr>
              <w:jc w:val="center"/>
            </w:pPr>
            <w:r>
              <w:rPr>
                <w:sz w:val="15"/>
                <w:szCs w:val="15"/>
              </w:rPr>
              <w:t xml:space="preserve">wet populated 0–2 1.0; coat assets 0–3 0.8</w:t>
            </w:r>
          </w:p>
        </w:tc>
      </w:tr>
      <w:tr w:rsidR="003E3FD9" w14:paraId="12E41159" w14:textId="77777777" w:rsidTr="009467D2">
        <w:trPr>
          <w:cantSplit/>
          <w:jc w:val="center"/>
        </w:trPr>
        <w:tc>
          <w:tcPr>
            <w:tcW w:w="1200" w:type="pct"/>
          </w:tcPr>
          <w:p w14:paraId="07E23EDE" w14:textId="77777777" w:rsidR="003E3FD9" w:rsidRDefault="00D31F60" w:rsidP="00C83E79">
            <w:r>
              <w:rPr>
                <w:sz w:val="15"/>
                <w:szCs w:val="15"/>
              </w:rPr>
              <w:t xml:space="preserve">flank line, 0.9</w:t>
            </w:r>
          </w:p>
        </w:tc>
        <w:tc>
          <w:tcPr>
            <w:tcW w:w="1500" w:type="pct"/>
          </w:tcPr>
          <w:p w14:paraId="2BCF2E86" w14:textId="77777777" w:rsidR="003E3FD9" w:rsidRDefault="00D31F60" w:rsidP="00C83E79">
            <w:pPr>
              <w:jc w:val="center"/>
            </w:pPr>
            <w:r>
              <w:rPr>
                <w:sz w:val="15"/>
                <w:szCs w:val="15"/>
              </w:rPr>
              <w:t xml:space="preserve">suppression feasibility high and fire threat medium</w:t>
            </w:r>
          </w:p>
        </w:tc>
        <w:tc>
          <w:tcPr>
            <w:tcW w:w="2300" w:type="pct"/>
          </w:tcPr>
          <w:p w14:paraId="196D66CB" w14:textId="77777777" w:rsidR="003E3FD9" w:rsidRDefault="00D31F60" w:rsidP="00C83E79">
            <w:pPr>
              <w:jc w:val="center"/>
            </w:pPr>
            <w:r>
              <w:rPr>
                <w:sz w:val="15"/>
                <w:szCs w:val="15"/>
              </w:rPr>
              <w:t xml:space="preserve">clear flank 0–2 1.0</w:t>
            </w:r>
          </w:p>
        </w:tc>
      </w:tr>
      <w:tr w:rsidR="003E3FD9" w14:paraId="4D2C982A" w14:textId="77777777" w:rsidTr="009467D2">
        <w:trPr>
          <w:cantSplit/>
          <w:jc w:val="center"/>
        </w:trPr>
        <w:tc>
          <w:tcPr>
            <w:tcW w:w="1200" w:type="pct"/>
          </w:tcPr>
          <w:p w14:paraId="76082401" w14:textId="77777777" w:rsidR="003E3FD9" w:rsidRDefault="00D31F60" w:rsidP="00C83E79">
            <w:r>
              <w:rPr>
                <w:sz w:val="15"/>
                <w:szCs w:val="15"/>
              </w:rPr>
              <w:t xml:space="preserve">rear anchor, 0.8</w:t>
            </w:r>
          </w:p>
        </w:tc>
        <w:tc>
          <w:tcPr>
            <w:tcW w:w="1500" w:type="pct"/>
          </w:tcPr>
          <w:p w14:paraId="72209264" w14:textId="77777777" w:rsidR="003E3FD9" w:rsidRDefault="00D31F60" w:rsidP="00C83E79">
            <w:pPr>
              <w:jc w:val="center"/>
            </w:pPr>
            <w:r>
              <w:rPr>
                <w:sz w:val="15"/>
                <w:szCs w:val="15"/>
              </w:rPr>
              <w:t xml:space="preserve">suppression feasibility medium</w:t>
            </w:r>
          </w:p>
        </w:tc>
        <w:tc>
          <w:tcPr>
            <w:tcW w:w="2300" w:type="pct"/>
          </w:tcPr>
          <w:p w14:paraId="2FF51647" w14:textId="77777777" w:rsidR="003E3FD9" w:rsidRDefault="00D31F60" w:rsidP="00C83E79">
            <w:pPr>
              <w:jc w:val="center"/>
            </w:pPr>
            <w:r>
              <w:rPr>
                <w:sz w:val="15"/>
                <w:szCs w:val="15"/>
              </w:rPr>
              <w:t xml:space="preserve">wet rear 0–2 1.0</w:t>
            </w:r>
          </w:p>
        </w:tc>
      </w:tr>
      <w:tr w:rsidR="003E3FD9" w14:paraId="5A1B87FC" w14:textId="77777777" w:rsidTr="009467D2">
        <w:trPr>
          <w:cantSplit/>
          <w:jc w:val="center"/>
        </w:trPr>
        <w:tc>
          <w:tcPr>
            <w:tcW w:w="1200" w:type="pct"/>
          </w:tcPr>
          <w:p w14:paraId="2BF123CA" w14:textId="77777777" w:rsidR="003E3FD9" w:rsidRDefault="00D31F60" w:rsidP="00C83E79">
            <w:r>
              <w:rPr>
                <w:sz w:val="15"/>
                <w:szCs w:val="15"/>
              </w:rPr>
              <w:t xml:space="preserve">evacuation belt, 1.0</w:t>
            </w:r>
          </w:p>
        </w:tc>
        <w:tc>
          <w:tcPr>
            <w:tcW w:w="1500" w:type="pct"/>
          </w:tcPr>
          <w:p w14:paraId="0203364B" w14:textId="77777777" w:rsidR="003E3FD9" w:rsidRDefault="00D31F60" w:rsidP="00C83E79">
            <w:pPr>
              <w:jc w:val="center"/>
            </w:pPr>
            <w:r>
              <w:rPr>
                <w:sz w:val="15"/>
                <w:szCs w:val="15"/>
              </w:rPr>
              <w:t xml:space="preserve">evacuation pressure high</w:t>
            </w:r>
          </w:p>
        </w:tc>
        <w:tc>
          <w:tcPr>
            <w:tcW w:w="2300" w:type="pct"/>
          </w:tcPr>
          <w:p w14:paraId="03452CD3" w14:textId="77777777" w:rsidR="003E3FD9" w:rsidRDefault="00D31F60" w:rsidP="00C83E79">
            <w:pPr>
              <w:jc w:val="center"/>
            </w:pPr>
            <w:r>
              <w:rPr>
                <w:sz w:val="15"/>
                <w:szCs w:val="15"/>
              </w:rPr>
              <w:t xml:space="preserve">prime populated 0–4 1.0; evacuate populated 0–2 1.0</w:t>
            </w:r>
          </w:p>
        </w:tc>
      </w:tr>
      <w:tr w:rsidR="003E3FD9" w14:paraId="2AB1ED91" w14:textId="77777777" w:rsidTr="009467D2">
        <w:trPr>
          <w:cantSplit/>
          <w:jc w:val="center"/>
        </w:trPr>
        <w:tc>
          <w:tcPr>
            <w:tcW w:w="1200" w:type="pct"/>
          </w:tcPr>
          <w:p w14:paraId="1D2AA9A0" w14:textId="77777777" w:rsidR="003E3FD9" w:rsidRDefault="00D31F60" w:rsidP="00C83E79">
            <w:r>
              <w:rPr>
                <w:sz w:val="15"/>
                <w:szCs w:val="15"/>
              </w:rPr>
              <w:t xml:space="preserve">burnout behind line, 0.8</w:t>
            </w:r>
          </w:p>
        </w:tc>
        <w:tc>
          <w:tcPr>
            <w:tcW w:w="1500" w:type="pct"/>
          </w:tcPr>
          <w:p w14:paraId="0BADA212" w14:textId="77777777" w:rsidR="003E3FD9" w:rsidRDefault="00D31F60" w:rsidP="00C83E79">
            <w:pPr>
              <w:jc w:val="center"/>
            </w:pPr>
            <w:r>
              <w:rPr>
                <w:sz w:val="15"/>
                <w:szCs w:val="15"/>
              </w:rPr>
              <w:t xml:space="preserve">suppression feasibility very high and fire threat high</w:t>
            </w:r>
          </w:p>
        </w:tc>
        <w:tc>
          <w:tcPr>
            <w:tcW w:w="2300" w:type="pct"/>
          </w:tcPr>
          <w:p w14:paraId="6F4FABFE" w14:textId="77777777" w:rsidR="003E3FD9" w:rsidRDefault="00D31F60" w:rsidP="00C83E79">
            <w:pPr>
              <w:jc w:val="center"/>
            </w:pPr>
            <w:r>
              <w:rPr>
                <w:sz w:val="15"/>
                <w:szCs w:val="15"/>
              </w:rPr>
              <w:t xml:space="preserve">clear head 5–6 1.0; ignite head 3–4 0.6</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These measures and cost components are reported with 95% uncertainty in </w:t>
      </w:r>
      <w:r>
        <w:fldChar w:fldCharType="begin"/>
      </w:r>
      <w:r>
        <w:instrText>REF _RefTab_fam \h</w:instrText>
      </w:r>
      <w:r>
        <w:fldChar w:fldCharType="separate"/>
      </w:r>
      <w:r w:rsidR="001C6998">
        <w:t xml:space="preserve">Table VI</w:t>
      </w:r>
      <w:r>
        <w:fldChar w:fldCharType="end"/>
      </w:r>
      <w:r>
        <w:t xml:space="preserve">. Total cost in (</w:t>
      </w:r>
      <w:r>
        <w:fldChar w:fldCharType="begin"/>
      </w:r>
      <w:r>
        <w:instrText xml:space="preserve"> REF _RefEqN_cost \h \* CHARFORMAT </w:instrText>
      </w:r>
      <w:r>
        <w:fldChar w:fldCharType="separate"/>
      </w:r>
      <w:r w:rsidR="001C6998">
        <w:t>14</w:t>
      </w:r>
      <w:r>
        <w:fldChar w:fldCharType="end"/>
      </w:r>
      <w:r>
        <w:t xml:space="preserve">) includes residual loss, response and dispatch timing. Mean and paired-change half-widths use 1.96 standard errors; extinguished fractions use Wilson intervals in brackets. Changes are differences of paired means relative to the reference mean. Negative changes indicate lower area or cost. The main 150-world comparison gives a two-sided paired sign-flip p &lt; 0.0001 after Bonferroni correction for 35 aggregate comparisons, namely the main comparison and every other row of Tables VII and VIII, using one million random sign assignments. Percentage half-widths divide the paired half-width by the reference mean.</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sidR="00CB2143">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2373630"/>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373630"/>
                          <a:chOff x="161306" y="21267"/>
                          <a:chExt cx="3124155" cy="2374009"/>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274626"/>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(Sc1–Sc4). Inputs are Copernicus GLO-30 terrain, ESA WorldCover 2021 fuel, ERA5 weather and VIIRS ignitions and burn detections, with no tuning to these fires. The observed first-12-h footprint is rasterized at 90 m and closed by one VIIRS pixel. Each free-spread run is compared at equal burned area, so the scores measure shape and position rather than rate of spread, which the recorded fires, fought from their first hours, do not constrain. </w:t>
      </w:r>
    </w:p>
    <w:p w14:paraId="5147036D" w14:textId="77777777" w:rsidR="003E3FD9" w:rsidRDefault="00D31F60">
      <w:pPr>
        <w:pStyle w:val="TableTitle"/>
        <w:keepNext/>
        <w:spacing w:before="120"/>
      </w:pPr>
      <w:bookmarkStart w:id="57"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sidRPr="00E107C1">
              <w:rPr>
                <w:b/>
                <w:sz w:val="16"/>
                <w:szCs w:val="16"/>
              </w:rPr>
              <w:t>Score</w:t>
            </w:r>
          </w:p>
        </w:tc>
        <w:tc>
          <w:tcPr>
            <w:tcW w:w="675" w:type="pct"/>
          </w:tcPr>
          <w:p w14:paraId="0CCAC3CE" w14:textId="77777777" w:rsidR="003E3FD9" w:rsidRPr="00E107C1" w:rsidRDefault="00D31F60">
            <w:pPr>
              <w:keepNext/>
              <w:jc w:val="center"/>
              <w:rPr>
                <w:sz w:val="16"/>
                <w:szCs w:val="16"/>
              </w:rPr>
            </w:pPr>
            <w:r w:rsidRPr="00E107C1">
              <w:rPr>
                <w:b/>
                <w:sz w:val="16"/>
                <w:szCs w:val="16"/>
              </w:rPr>
              <w:t>Sc1</w:t>
            </w:r>
          </w:p>
        </w:tc>
        <w:tc>
          <w:tcPr>
            <w:tcW w:w="675" w:type="pct"/>
          </w:tcPr>
          <w:p w14:paraId="59C663EA" w14:textId="77777777" w:rsidR="003E3FD9" w:rsidRPr="00E107C1" w:rsidRDefault="00D31F60">
            <w:pPr>
              <w:keepNext/>
              <w:jc w:val="center"/>
              <w:rPr>
                <w:sz w:val="16"/>
                <w:szCs w:val="16"/>
              </w:rPr>
            </w:pPr>
            <w:r w:rsidRPr="00E107C1">
              <w:rPr>
                <w:b/>
                <w:sz w:val="16"/>
                <w:szCs w:val="16"/>
              </w:rPr>
              <w:t>Sc2</w:t>
            </w:r>
          </w:p>
        </w:tc>
        <w:tc>
          <w:tcPr>
            <w:tcW w:w="675" w:type="pct"/>
          </w:tcPr>
          <w:p w14:paraId="2AF3FD0C" w14:textId="77777777" w:rsidR="003E3FD9" w:rsidRPr="00E107C1" w:rsidRDefault="00D31F60">
            <w:pPr>
              <w:keepNext/>
              <w:jc w:val="center"/>
              <w:rPr>
                <w:sz w:val="16"/>
                <w:szCs w:val="16"/>
              </w:rPr>
            </w:pPr>
            <w:r w:rsidRPr="00E107C1">
              <w:rPr>
                <w:b/>
                <w:sz w:val="16"/>
                <w:szCs w:val="16"/>
              </w:rPr>
              <w:t>Sc3</w:t>
            </w:r>
          </w:p>
        </w:tc>
        <w:tc>
          <w:tcPr>
            <w:tcW w:w="678" w:type="pct"/>
          </w:tcPr>
          <w:p w14:paraId="6D3F848E" w14:textId="77777777" w:rsidR="003E3FD9" w:rsidRPr="00E107C1" w:rsidRDefault="00D31F60">
            <w:pPr>
              <w:keepNext/>
              <w:jc w:val="center"/>
              <w:rPr>
                <w:sz w:val="16"/>
                <w:szCs w:val="16"/>
              </w:rPr>
            </w:pPr>
            <w:r w:rsidRPr="00E107C1">
              <w:rPr>
                <w:b/>
                <w:sz w:val="16"/>
                <w:szCs w:val="16"/>
              </w:rPr>
              <w:t>Sc4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sidRPr="00E107C1">
              <w:rPr>
                <w:sz w:val="16"/>
                <w:szCs w:val="16"/>
              </w:rPr>
              <w:t>83%</w:t>
            </w:r>
          </w:p>
        </w:tc>
        <w:tc>
          <w:tcPr>
            <w:tcW w:w="675" w:type="pct"/>
          </w:tcPr>
          <w:p w14:paraId="7E7E45EF" w14:textId="77777777" w:rsidR="003E3FD9" w:rsidRPr="00E107C1" w:rsidRDefault="00D31F60">
            <w:pPr>
              <w:keepNext/>
              <w:jc w:val="center"/>
              <w:rPr>
                <w:sz w:val="16"/>
                <w:szCs w:val="16"/>
              </w:rPr>
            </w:pPr>
            <w:r w:rsidRPr="00E107C1">
              <w:rPr>
                <w:sz w:val="16"/>
                <w:szCs w:val="16"/>
              </w:rPr>
              <w:t>89%</w:t>
            </w:r>
          </w:p>
        </w:tc>
        <w:tc>
          <w:tcPr>
            <w:tcW w:w="675" w:type="pct"/>
          </w:tcPr>
          <w:p w14:paraId="4D4DDE81" w14:textId="77777777" w:rsidR="003E3FD9" w:rsidRPr="00E107C1" w:rsidRDefault="00D31F60">
            <w:pPr>
              <w:keepNext/>
              <w:jc w:val="center"/>
              <w:rPr>
                <w:sz w:val="16"/>
                <w:szCs w:val="16"/>
              </w:rPr>
            </w:pPr>
            <w:r w:rsidRPr="00E107C1">
              <w:rPr>
                <w:sz w:val="16"/>
                <w:szCs w:val="16"/>
              </w:rPr>
              <w:t>89%</w:t>
            </w:r>
          </w:p>
        </w:tc>
        <w:tc>
          <w:tcPr>
            <w:tcW w:w="678" w:type="pct"/>
          </w:tcPr>
          <w:p w14:paraId="3F5DDE4B" w14:textId="77777777" w:rsidR="003E3FD9" w:rsidRPr="00E107C1" w:rsidRDefault="00D31F60">
            <w:pPr>
              <w:keepNext/>
              <w:jc w:val="center"/>
              <w:rPr>
                <w:sz w:val="16"/>
                <w:szCs w:val="16"/>
              </w:rPr>
            </w:pPr>
            <w:r w:rsidRPr="00E107C1">
              <w:rPr>
                <w:sz w:val="16"/>
                <w:szCs w:val="16"/>
              </w:rPr>
              <w:t>86%</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Probability of detection</w:t>
            </w:r>
          </w:p>
        </w:tc>
        <w:tc>
          <w:tcPr>
            <w:tcW w:w="675" w:type="pct"/>
          </w:tcPr>
          <w:p w14:paraId="47B31D12" w14:textId="77777777" w:rsidR="003E3FD9" w:rsidRPr="00E107C1" w:rsidRDefault="00D31F60">
            <w:pPr>
              <w:keepNext/>
              <w:jc w:val="center"/>
              <w:rPr>
                <w:sz w:val="16"/>
                <w:szCs w:val="16"/>
              </w:rPr>
            </w:pPr>
            <w:r w:rsidRPr="00E107C1">
              <w:rPr>
                <w:sz w:val="16"/>
                <w:szCs w:val="16"/>
              </w:rPr>
              <w:t>92%</w:t>
            </w:r>
          </w:p>
        </w:tc>
        <w:tc>
          <w:tcPr>
            <w:tcW w:w="675" w:type="pct"/>
          </w:tcPr>
          <w:p w14:paraId="3D6F10E2" w14:textId="77777777" w:rsidR="003E3FD9" w:rsidRPr="00E107C1" w:rsidRDefault="00D31F60">
            <w:pPr>
              <w:keepNext/>
              <w:jc w:val="center"/>
              <w:rPr>
                <w:sz w:val="16"/>
                <w:szCs w:val="16"/>
              </w:rPr>
            </w:pPr>
            <w:r w:rsidRPr="00E107C1">
              <w:rPr>
                <w:sz w:val="16"/>
                <w:szCs w:val="16"/>
              </w:rPr>
              <w:t>87%</w:t>
            </w:r>
          </w:p>
        </w:tc>
        <w:tc>
          <w:tcPr>
            <w:tcW w:w="675" w:type="pct"/>
          </w:tcPr>
          <w:p w14:paraId="68E783AB" w14:textId="77777777" w:rsidR="003E3FD9" w:rsidRPr="00E107C1" w:rsidRDefault="00D31F60">
            <w:pPr>
              <w:keepNext/>
              <w:jc w:val="center"/>
              <w:rPr>
                <w:sz w:val="16"/>
                <w:szCs w:val="16"/>
              </w:rPr>
            </w:pPr>
            <w:r w:rsidRPr="00E107C1">
              <w:rPr>
                <w:sz w:val="16"/>
                <w:szCs w:val="16"/>
              </w:rPr>
              <w:t>98%</w:t>
            </w:r>
          </w:p>
        </w:tc>
        <w:tc>
          <w:tcPr>
            <w:tcW w:w="678" w:type="pct"/>
          </w:tcPr>
          <w:p w14:paraId="14B32199" w14:textId="77777777" w:rsidR="003E3FD9" w:rsidRPr="00E107C1" w:rsidRDefault="00D31F60">
            <w:pPr>
              <w:keepNext/>
              <w:jc w:val="center"/>
              <w:rPr>
                <w:sz w:val="16"/>
                <w:szCs w:val="16"/>
              </w:rPr>
            </w:pPr>
            <w:r w:rsidRPr="00E107C1">
              <w:rPr>
                <w:sz w:val="16"/>
                <w:szCs w:val="16"/>
              </w:rPr>
              <w:t>82%</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Front distance (m), mean</w:t>
            </w:r>
          </w:p>
        </w:tc>
        <w:tc>
          <w:tcPr>
            <w:tcW w:w="675" w:type="pct"/>
          </w:tcPr>
          <w:p w14:paraId="01DC4D6C" w14:textId="77777777" w:rsidR="003E3FD9" w:rsidRPr="00E107C1" w:rsidRDefault="00D31F60">
            <w:pPr>
              <w:keepNext/>
              <w:jc w:val="center"/>
              <w:rPr>
                <w:sz w:val="16"/>
                <w:szCs w:val="16"/>
              </w:rPr>
            </w:pPr>
            <w:r w:rsidRPr="00E107C1">
              <w:rPr>
                <w:sz w:val="16"/>
                <w:szCs w:val="16"/>
              </w:rPr>
              <w:t>315</w:t>
            </w:r>
          </w:p>
        </w:tc>
        <w:tc>
          <w:tcPr>
            <w:tcW w:w="675" w:type="pct"/>
          </w:tcPr>
          <w:p w14:paraId="7B92E573" w14:textId="77777777" w:rsidR="003E3FD9" w:rsidRPr="00E107C1" w:rsidRDefault="00D31F60">
            <w:pPr>
              <w:keepNext/>
              <w:jc w:val="center"/>
              <w:rPr>
                <w:sz w:val="16"/>
                <w:szCs w:val="16"/>
              </w:rPr>
            </w:pPr>
            <w:r w:rsidRPr="00E107C1">
              <w:rPr>
                <w:sz w:val="16"/>
                <w:szCs w:val="16"/>
              </w:rPr>
              <w:t>345</w:t>
            </w:r>
          </w:p>
        </w:tc>
        <w:tc>
          <w:tcPr>
            <w:tcW w:w="675" w:type="pct"/>
          </w:tcPr>
          <w:p w14:paraId="4D7955FB" w14:textId="77777777" w:rsidR="003E3FD9" w:rsidRPr="00E107C1" w:rsidRDefault="00D31F60">
            <w:pPr>
              <w:keepNext/>
              <w:jc w:val="center"/>
              <w:rPr>
                <w:sz w:val="16"/>
                <w:szCs w:val="16"/>
              </w:rPr>
            </w:pPr>
            <w:r w:rsidRPr="00E107C1">
              <w:rPr>
                <w:sz w:val="16"/>
                <w:szCs w:val="16"/>
              </w:rPr>
              <w:t>109</w:t>
            </w:r>
          </w:p>
        </w:tc>
        <w:tc>
          <w:tcPr>
            <w:tcW w:w="678" w:type="pct"/>
          </w:tcPr>
          <w:p w14:paraId="42E449A3" w14:textId="77777777" w:rsidR="003E3FD9" w:rsidRPr="00E107C1" w:rsidRDefault="00D31F60">
            <w:pPr>
              <w:keepNext/>
              <w:jc w:val="center"/>
              <w:rPr>
                <w:sz w:val="16"/>
                <w:szCs w:val="16"/>
              </w:rPr>
            </w:pPr>
            <w:r w:rsidRPr="00E107C1">
              <w:rPr>
                <w:sz w:val="16"/>
                <w:szCs w:val="16"/>
              </w:rPr>
              <w:t>477</w:t>
            </w:r>
          </w:p>
        </w:tc>
      </w:tr>
      <w:tr w:rsidR="003E3FD9" w:rsidRPr="00E107C1" w14:paraId="62129A38" w14:textId="77777777" w:rsidTr="00660615">
        <w:trPr>
          <w:cantSplit/>
          <w:jc w:val="center"/>
        </w:trPr>
        <w:tc>
          <w:tcPr>
            <w:tcW w:w="2299" w:type="pct"/>
          </w:tcPr>
          <w:p w14:paraId="3854D704" w14:textId="77777777" w:rsidR="00D83EA8" w:rsidRDefault="00106F55">
            <w:pPr>
              <w:rPr>
                <w:sz w:val="16"/>
                <w:szCs w:val="16"/>
              </w:rPr>
            </w:pPr>
          </w:p>
        </w:tc>
        <w:tc>
          <w:tcPr>
            <w:tcW w:w="675" w:type="pct"/>
          </w:tcPr>
          <w:p w14:paraId="29C98467" w14:textId="77777777" w:rsidR="00D83EA8" w:rsidRDefault="00106F55">
            <w:pPr>
              <w:jc w:val="center"/>
              <w:rPr>
                <w:sz w:val="16"/>
                <w:szCs w:val="16"/>
              </w:rPr>
            </w:pPr>
          </w:p>
        </w:tc>
        <w:tc>
          <w:tcPr>
            <w:tcW w:w="675" w:type="pct"/>
          </w:tcPr>
          <w:p w14:paraId="32E935FD" w14:textId="77777777" w:rsidR="00D83EA8" w:rsidRDefault="00106F55">
            <w:pPr>
              <w:jc w:val="center"/>
              <w:rPr>
                <w:sz w:val="16"/>
                <w:szCs w:val="16"/>
              </w:rPr>
            </w:pPr>
          </w:p>
        </w:tc>
        <w:tc>
          <w:tcPr>
            <w:tcW w:w="675" w:type="pct"/>
          </w:tcPr>
          <w:p w14:paraId="37C90B32" w14:textId="77777777" w:rsidR="00D83EA8" w:rsidRDefault="00106F55">
            <w:pPr>
              <w:jc w:val="center"/>
              <w:rPr>
                <w:sz w:val="16"/>
                <w:szCs w:val="16"/>
              </w:rPr>
            </w:pPr>
          </w:p>
        </w:tc>
        <w:tc>
          <w:tcPr>
            <w:tcW w:w="678" w:type="pct"/>
          </w:tcPr>
          <w:p w14:paraId="36BF404D" w14:textId="77777777" w:rsidR="00D83EA8" w:rsidRDefault="00106F55">
            <w:pPr>
              <w:jc w:val="center"/>
              <w:rPr>
                <w:sz w:val="16"/>
                <w:szCs w:val="16"/>
              </w:rPr>
            </w:pPr>
          </w:p>
        </w:tc>
      </w:tr>
    </w:tbl>
    <w:p w14:paraId="7EB344C9" w14:textId="18F93FF3" w:rsidR="00FF0CB1" w:rsidRDefault="00DB0B75">
      <w:pPr>
        <w:pStyle w:val="Text"/>
        <w:spacing w:before="120" w:line="240" w:lineRule="auto"/>
        <w:rPr>
          <w:noProof/>
        </w:rPr>
      </w:pPr>
      <w:r>
        <w:t xml:space="preserve">Across 50 replicates per fire, detection probability is 0.82–0.98 and front agreement 0.83–0.89; the standard deviation over replicates stays below 0.01 in detection probability and below 15 m in front distance. An equal-area disk around the ignition point, the reference without a spread model, gives detection probability 0.21–0.47 and front agreement 0.24–0.50 on the same footprints.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[22]. </w:t>
      </w:r>
      <w:r>
        <w:fldChar w:fldCharType="begin"/>
      </w:r>
      <w:r>
        <w:instrText>REF _RefFig5 \h</w:instrText>
      </w:r>
      <w:r>
        <w:fldChar w:fldCharType="separate"/>
      </w:r>
      <w:r w:rsidR="001C6998">
        <w:rPr>
          <w:sz w:val="18"/>
        </w:rPr>
        <w:t xml:space="preserve">Fig. 5</w:t>
      </w:r>
      <w:r>
        <w:fldChar w:fldCharType="end"/>
      </w:r>
      <w:r>
        <w:t xml:space="preserve"> shows the spatial comparison. The hindcast establishes that the core reproduces the shape of recorded footprints.</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r>
      <w:r>
        <w:instrText>REF _RefTab_fam \h</w:instrText>
      </w:r>
      <w:r>
        <w:fldChar w:fldCharType="separate"/>
      </w:r>
      <w:r w:rsidR="001C6998">
        <w:t xml:space="preserve">Table VI</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(14) from 0.2 to 1 narrows the total-cost advantage from 48% to 31 ± 7%, better in 108 worlds, and leaves the area result unchanged. Later admission raises dispatch-delay cost by 36%, included in the total, because admitted objects commit capacity later in the incident than the seed rules; this is the price of waiting for a forecast gain. Extinguished incidents rise from 52% to 91%; GODA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2760" w:type="dxa"/>
            <w:gridSpan w:val="2"/>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 xml:space="preserve">GODA</w:t>
            </w:r>
          </w:p>
        </w:tc>
      </w:tr>
      <w:tr w:rsidR="00CB2143" w14:paraId="0329EAB3" w14:textId="77777777" w:rsidTr="00074B69">
        <w:tc>
          <w:tcPr>
            <w:tcW w:w="2760" w:type="dxa"/>
            <w:gridSpan w:val="2"/>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2760" w:type="dxa"/>
            <w:gridSpan w:val="2"/>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2760" w:type="dxa"/>
            <w:gridSpan w:val="2"/>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r>
            <w:r>
              <w:rPr>
                <w:sz w:val="18"/>
              </w:rPr>
              <w:br/>
              <w:t>[85.7–94.9]</w:t>
            </w:r>
          </w:p>
        </w:tc>
      </w:tr>
      <w:tr w:rsidR="00CB2143" w14:paraId="4A041E9E" w14:textId="77777777" w:rsidTr="00074B69">
        <w:tc>
          <w:tcPr>
            <w:tcW w:w="2760" w:type="dxa"/>
            <w:gridSpan w:val="2"/>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2760" w:type="dxa"/>
            <w:gridSpan w:val="2"/>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2760" w:type="dxa"/>
            <w:gridSpan w:val="2"/>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2760" w:type="dxa"/>
            <w:gridSpan w:val="2"/>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2760" w:type="dxa"/>
            <w:gridSpan w:val="2"/>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2760" w:type="dxa"/>
            <w:gridSpan w:val="2"/>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2760" w:type="dxa"/>
            <w:gridSpan w:val="2"/>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r>
      <w:r>
        <w:instrText>REF _RefTab_abl \h</w:instrText>
      </w:r>
      <w:r>
        <w:fldChar w:fldCharType="separate"/>
      </w:r>
      <w:r>
        <w:t>Table VII</w:t>
      </w:r>
      <w:r>
        <w:fldChar w:fldCharType="end"/>
      </w:r>
      <w:r>
        <w:t xml:space="preserve"> groups the source and search comparisons with model-error and operating-limit tests. The gated search with a random proposer reduces area by 46%, compared with 61% for GODA, so the gate chain over the candidate set carries most of the gain; paired directly, GODA lowers area by 28 ± 20% and total cost by 18 ± 12% against the random control. The random control is a search controller without a language model over the same grammar, budget and gates. Without variations and at the same budget of six forecasts, the candidate-only LLM configuration exceeds the small random control by 14 ± 11 percentage points, so the proposer is measured without the local search; the variations add a further 16 ± 9 points. 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Random seeds with the variation operator reach 34 ± 9%, below fresh sampling, so variations need good seeds. The evolutionary search reaches 49 ± 12%; paired against it, GODA lowers area by a further 24 ± 18% and total cost by 17 ± 11%, better in 81 worlds and worse in 58. Without G5 to G8, the single random and LLM candidates still reduce area by 10 ± 9% and 25 ± 9%, within four points of the gated values, inside the paired intervals, although the worlds worse than Closed rise from 40 to 49 and from 16 to 28 and the rule bases grow by about four rules. The forecast gates act through the search, where the same forecasts rank the 36 candidates of a call. A repeat stays within four points of the nominal area advantage. With independent gate futures the advantage is 54 ± 12%.</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CB2143" w14:paraId="7C262DF2" w14:textId="77777777" w:rsidTr="00074B69">
        <w:tc>
          <w:tcPr>
            <w:tcW w:w="2127" w:type="dxa"/>
          </w:tcPr>
          <w:p w14:paraId="3A920854" w14:textId="77777777" w:rsidR="00CB2143" w:rsidRDefault="00CB2143" w:rsidP="00074B69">
            <w:pPr>
              <w:keepNext/>
              <w:spacing w:line="220" w:lineRule="auto"/>
            </w:pPr>
            <w:r>
              <w:rPr>
                <w:b/>
                <w:sz w:val="18"/>
              </w:rPr>
              <w:t>Setting</w:t>
            </w:r>
          </w:p>
        </w:tc>
        <w:tc>
          <w:tcPr>
            <w:tcW w:w="1417" w:type="dxa"/>
          </w:tcPr>
          <w:p w14:paraId="0F56568F" w14:textId="77777777" w:rsidR="00CB2143" w:rsidRDefault="00CB2143" w:rsidP="00074B69">
            <w:pPr>
              <w:keepNext/>
              <w:spacing w:line="220" w:lineRule="auto"/>
              <w:jc w:val="center"/>
            </w:pPr>
            <w:r>
              <w:rPr>
                <w:b/>
                <w:sz w:val="18"/>
              </w:rPr>
              <w:t>Δ burned area (%)</w:t>
            </w:r>
          </w:p>
        </w:tc>
        <w:tc>
          <w:tcPr>
            <w:tcW w:w="1559" w:type="dxa"/>
          </w:tcPr>
          <w:p w14:paraId="7E436FD5" w14:textId="77777777" w:rsidR="00CB2143" w:rsidRDefault="00CB2143" w:rsidP="00074B69">
            <w:pPr>
              <w:keepNext/>
              <w:spacing w:line="220" w:lineRule="auto"/>
              <w:jc w:val="center"/>
            </w:pPr>
            <w:r>
              <w:rPr>
                <w:b/>
                <w:sz w:val="18"/>
              </w:rPr>
              <w:t>Δ total cost (%)</w:t>
            </w:r>
          </w:p>
        </w:tc>
      </w:tr>
      <w:tr w:rsidR="00CB2143" w14:paraId="052DBD16" w14:textId="77777777" w:rsidTr="00074B69">
        <w:tc>
          <w:tcPr>
            <w:tcW w:w="5103" w:type="dxa"/>
            <w:gridSpan w:val="3"/>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2127" w:type="dxa"/>
          </w:tcPr>
          <w:p w14:paraId="46BB9942" w14:textId="77777777" w:rsidR="00CB2143" w:rsidRDefault="00CB2143" w:rsidP="00074B69">
            <w:pPr>
              <w:keepNext/>
              <w:spacing w:line="220" w:lineRule="auto"/>
            </w:pPr>
            <w:r>
              <w:rPr>
                <w:sz w:val="18"/>
              </w:rPr>
              <w:t>Random, one</w:t>
            </w:r>
          </w:p>
        </w:tc>
        <w:tc>
          <w:tcPr>
            <w:tcW w:w="1417" w:type="dxa"/>
          </w:tcPr>
          <w:p w14:paraId="25F34F85" w14:textId="77777777" w:rsidR="00CB2143" w:rsidRDefault="00CB2143" w:rsidP="00074B69">
            <w:pPr>
              <w:keepNext/>
              <w:spacing w:line="220" w:lineRule="auto"/>
              <w:jc w:val="center"/>
            </w:pPr>
            <w:r>
              <w:rPr>
                <w:sz w:val="18"/>
              </w:rPr>
              <w:t>−9 ± 8</w:t>
            </w:r>
          </w:p>
        </w:tc>
        <w:tc>
          <w:tcPr>
            <w:tcW w:w="1559" w:type="dxa"/>
          </w:tcPr>
          <w:p w14:paraId="023E734B" w14:textId="77777777" w:rsidR="00CB2143" w:rsidRDefault="00CB2143" w:rsidP="00074B69">
            <w:pPr>
              <w:keepNext/>
              <w:spacing w:line="220" w:lineRule="auto"/>
              <w:jc w:val="center"/>
            </w:pPr>
            <w:r>
              <w:rPr>
                <w:sz w:val="18"/>
              </w:rPr>
              <w:t>−4 ± 6</w:t>
            </w:r>
          </w:p>
        </w:tc>
      </w:tr>
      <w:tr w:rsidR="00CB2143" w14:paraId="4E97DA77" w14:textId="77777777" w:rsidTr="00074B69">
        <w:tc>
          <w:tcPr>
            <w:tcW w:w="2127" w:type="dxa"/>
          </w:tcPr>
          <w:p w14:paraId="0EA28487" w14:textId="77777777" w:rsidR="00CB2143" w:rsidRDefault="00CB2143" w:rsidP="00074B69">
            <w:pPr>
              <w:keepNext/>
              <w:spacing w:line="220" w:lineRule="auto"/>
            </w:pPr>
            <w:r>
              <w:rPr>
                <w:sz w:val="18"/>
              </w:rPr>
              <w:t>Random, one, ungated</w:t>
            </w:r>
          </w:p>
        </w:tc>
        <w:tc>
          <w:tcPr>
            <w:tcW w:w="1417" w:type="dxa"/>
          </w:tcPr>
          <w:p w14:paraId="7B57F17C" w14:textId="77777777" w:rsidR="00CB2143" w:rsidRDefault="00CB2143" w:rsidP="00074B69">
            <w:pPr>
              <w:keepNext/>
              <w:spacing w:line="220" w:lineRule="auto"/>
              <w:jc w:val="center"/>
            </w:pPr>
            <w:r>
              <w:rPr>
                <w:sz w:val="18"/>
              </w:rPr>
              <w:t>−10 ± 9</w:t>
            </w:r>
          </w:p>
        </w:tc>
        <w:tc>
          <w:tcPr>
            <w:tcW w:w="1559" w:type="dxa"/>
          </w:tcPr>
          <w:p w14:paraId="44866370" w14:textId="77777777" w:rsidR="00CB2143" w:rsidRDefault="00CB2143" w:rsidP="00074B69">
            <w:pPr>
              <w:keepNext/>
              <w:spacing w:line="220" w:lineRule="auto"/>
              <w:jc w:val="center"/>
            </w:pPr>
            <w:r>
              <w:rPr>
                <w:sz w:val="18"/>
              </w:rPr>
              <w:t>−3 ± 7</w:t>
            </w:r>
          </w:p>
        </w:tc>
      </w:tr>
      <w:tr w:rsidR="00CB2143" w14:paraId="3D54E44B" w14:textId="77777777" w:rsidTr="00074B69">
        <w:tc>
          <w:tcPr>
            <w:tcW w:w="2127" w:type="dxa"/>
          </w:tcPr>
          <w:p w14:paraId="29C658C4" w14:textId="77777777" w:rsidR="00CB2143" w:rsidRDefault="00CB2143" w:rsidP="00074B69">
            <w:pPr>
              <w:keepNext/>
              <w:spacing w:line="220" w:lineRule="auto"/>
            </w:pPr>
            <w:r>
              <w:rPr>
                <w:sz w:val="18"/>
              </w:rPr>
              <w:t>LLM, one</w:t>
            </w:r>
          </w:p>
        </w:tc>
        <w:tc>
          <w:tcPr>
            <w:tcW w:w="1417" w:type="dxa"/>
          </w:tcPr>
          <w:p w14:paraId="39481518" w14:textId="77777777" w:rsidR="00CB2143" w:rsidRDefault="00CB2143" w:rsidP="00074B69">
            <w:pPr>
              <w:keepNext/>
              <w:spacing w:line="220" w:lineRule="auto"/>
              <w:jc w:val="center"/>
            </w:pPr>
            <w:r>
              <w:rPr>
                <w:sz w:val="18"/>
              </w:rPr>
              <w:t>−28 ± 9</w:t>
            </w:r>
          </w:p>
        </w:tc>
        <w:tc>
          <w:tcPr>
            <w:tcW w:w="1559" w:type="dxa"/>
          </w:tcPr>
          <w:p w14:paraId="1D5E14E9" w14:textId="77777777" w:rsidR="00CB2143" w:rsidRDefault="00CB2143" w:rsidP="00074B69">
            <w:pPr>
              <w:keepNext/>
              <w:spacing w:line="220" w:lineRule="auto"/>
              <w:jc w:val="center"/>
            </w:pPr>
            <w:r>
              <w:rPr>
                <w:sz w:val="18"/>
              </w:rPr>
              <w:t>−22 ± 6</w:t>
            </w:r>
          </w:p>
        </w:tc>
      </w:tr>
      <w:tr w:rsidR="00CB2143" w14:paraId="0258B794" w14:textId="77777777" w:rsidTr="00074B69">
        <w:tc>
          <w:tcPr>
            <w:tcW w:w="2127" w:type="dxa"/>
          </w:tcPr>
          <w:p w14:paraId="7A8F9FC3" w14:textId="77777777" w:rsidR="00CB2143" w:rsidRDefault="00CB2143" w:rsidP="00074B69">
            <w:pPr>
              <w:keepNext/>
              <w:spacing w:line="220" w:lineRule="auto"/>
            </w:pPr>
            <w:r>
              <w:rPr>
                <w:sz w:val="18"/>
              </w:rPr>
              <w:t>LLM, one, ungated</w:t>
            </w:r>
          </w:p>
        </w:tc>
        <w:tc>
          <w:tcPr>
            <w:tcW w:w="1417" w:type="dxa"/>
          </w:tcPr>
          <w:p w14:paraId="01CE1707" w14:textId="77777777" w:rsidR="00CB2143" w:rsidRDefault="00CB2143" w:rsidP="00074B69">
            <w:pPr>
              <w:keepNext/>
              <w:spacing w:line="220" w:lineRule="auto"/>
              <w:jc w:val="center"/>
            </w:pPr>
            <w:r>
              <w:rPr>
                <w:sz w:val="18"/>
              </w:rPr>
              <w:t>−25 ± 9</w:t>
            </w:r>
          </w:p>
        </w:tc>
        <w:tc>
          <w:tcPr>
            <w:tcW w:w="1559" w:type="dxa"/>
          </w:tcPr>
          <w:p w14:paraId="5ABA456D" w14:textId="77777777" w:rsidR="00CB2143" w:rsidRDefault="00CB2143" w:rsidP="00074B69">
            <w:pPr>
              <w:keepNext/>
              <w:spacing w:line="220" w:lineRule="auto"/>
              <w:jc w:val="center"/>
            </w:pPr>
            <w:r>
              <w:rPr>
                <w:sz w:val="18"/>
              </w:rPr>
              <w:t>−20 ± 7</w:t>
            </w:r>
          </w:p>
        </w:tc>
      </w:tr>
      <w:tr w:rsidR="00CB2143" w14:paraId="55398886" w14:textId="77777777" w:rsidTr="00074B69">
        <w:tc>
          <w:tcPr>
            <w:tcW w:w="2127" w:type="dxa"/>
          </w:tcPr>
          <w:p w14:paraId="7CC6ED2E" w14:textId="77777777" w:rsidR="00CB2143" w:rsidRDefault="00CB2143" w:rsidP="00074B69">
            <w:pPr>
              <w:keepNext/>
              <w:spacing w:line="220" w:lineRule="auto"/>
            </w:pPr>
            <w:r>
              <w:rPr>
                <w:sz w:val="18"/>
              </w:rPr>
              <w:t>Random, small</w:t>
            </w:r>
          </w:p>
        </w:tc>
        <w:tc>
          <w:tcPr>
            <w:tcW w:w="1417" w:type="dxa"/>
          </w:tcPr>
          <w:p w14:paraId="7685F90A" w14:textId="77777777" w:rsidR="00CB2143" w:rsidRDefault="00CB2143" w:rsidP="00074B69">
            <w:pPr>
              <w:keepNext/>
              <w:spacing w:line="220" w:lineRule="auto"/>
              <w:jc w:val="center"/>
            </w:pPr>
            <w:r>
              <w:rPr>
                <w:sz w:val="18"/>
              </w:rPr>
              <w:t>−32 ± 11</w:t>
            </w:r>
          </w:p>
        </w:tc>
        <w:tc>
          <w:tcPr>
            <w:tcW w:w="1559" w:type="dxa"/>
          </w:tcPr>
          <w:p w14:paraId="0CAFF43D" w14:textId="77777777" w:rsidR="00CB2143" w:rsidRDefault="00CB2143" w:rsidP="00074B69">
            <w:pPr>
              <w:keepNext/>
              <w:spacing w:line="220" w:lineRule="auto"/>
              <w:jc w:val="center"/>
            </w:pPr>
            <w:r>
              <w:rPr>
                <w:sz w:val="18"/>
              </w:rPr>
              <w:t>−24 ± 8</w:t>
            </w:r>
          </w:p>
        </w:tc>
      </w:tr>
      <w:tr w:rsidR="00CB2143" w14:paraId="56F1873D" w14:textId="77777777" w:rsidTr="00074B69">
        <w:tc>
          <w:tcPr>
            <w:tcW w:w="2127" w:type="dxa"/>
          </w:tcPr>
          <w:p w14:paraId="1B3757A5" w14:textId="77777777" w:rsidR="00CB2143" w:rsidRDefault="00CB2143" w:rsidP="00074B69">
            <w:pPr>
              <w:keepNext/>
              <w:spacing w:line="220" w:lineRule="auto"/>
            </w:pPr>
            <w:r>
              <w:rPr>
                <w:sz w:val="18"/>
              </w:rPr>
              <w:t>LLM, candidates only</w:t>
            </w:r>
          </w:p>
        </w:tc>
        <w:tc>
          <w:tcPr>
            <w:tcW w:w="1417" w:type="dxa"/>
          </w:tcPr>
          <w:p w14:paraId="352A1C0D" w14:textId="77777777" w:rsidR="00CB2143" w:rsidRDefault="00CB2143" w:rsidP="00074B69">
            <w:pPr>
              <w:keepNext/>
              <w:spacing w:line="220" w:lineRule="auto"/>
              <w:jc w:val="center"/>
            </w:pPr>
            <w:r>
              <w:rPr>
                <w:sz w:val="18"/>
              </w:rPr>
              <w:t>−45 ± 11</w:t>
            </w:r>
          </w:p>
        </w:tc>
        <w:tc>
          <w:tcPr>
            <w:tcW w:w="1559" w:type="dxa"/>
          </w:tcPr>
          <w:p w14:paraId="2B82E0A9" w14:textId="77777777" w:rsidR="00CB2143" w:rsidRDefault="00CB2143" w:rsidP="00074B69">
            <w:pPr>
              <w:keepNext/>
              <w:spacing w:line="220" w:lineRule="auto"/>
              <w:jc w:val="center"/>
            </w:pPr>
            <w:r>
              <w:rPr>
                <w:sz w:val="18"/>
              </w:rPr>
              <w:t>−36 ± 8</w:t>
            </w:r>
          </w:p>
        </w:tc>
      </w:tr>
      <w:tr w:rsidR="00CB2143" w14:paraId="1E98732A" w14:textId="77777777" w:rsidTr="00074B69">
        <w:tc>
          <w:tcPr>
            <w:tcW w:w="2127" w:type="dxa"/>
          </w:tcPr>
          <w:p w14:paraId="0ADE12D1" w14:textId="77777777" w:rsidR="00CB2143" w:rsidRDefault="00CB2143" w:rsidP="00074B69">
            <w:pPr>
              <w:keepNext/>
              <w:spacing w:line="220" w:lineRule="auto"/>
            </w:pPr>
            <w:r>
              <w:rPr>
                <w:sz w:val="18"/>
              </w:rPr>
              <w:t>Random, full</w:t>
            </w:r>
          </w:p>
        </w:tc>
        <w:tc>
          <w:tcPr>
            <w:tcW w:w="1417" w:type="dxa"/>
          </w:tcPr>
          <w:p w14:paraId="0484A5BC" w14:textId="77777777" w:rsidR="00CB2143" w:rsidRDefault="00CB2143" w:rsidP="00074B69">
            <w:pPr>
              <w:keepNext/>
              <w:spacing w:line="220" w:lineRule="auto"/>
              <w:jc w:val="center"/>
            </w:pPr>
            <w:r>
              <w:rPr>
                <w:sz w:val="18"/>
              </w:rPr>
              <w:t>−46 ± 11</w:t>
            </w:r>
          </w:p>
        </w:tc>
        <w:tc>
          <w:tcPr>
            <w:tcW w:w="1559" w:type="dxa"/>
          </w:tcPr>
          <w:p w14:paraId="6FD6CD8C" w14:textId="77777777" w:rsidR="00CB2143" w:rsidRDefault="00CB2143" w:rsidP="00074B69">
            <w:pPr>
              <w:keepNext/>
              <w:spacing w:line="220" w:lineRule="auto"/>
              <w:jc w:val="center"/>
            </w:pPr>
            <w:r>
              <w:rPr>
                <w:sz w:val="18"/>
              </w:rPr>
              <w:t>−37 ± 8</w:t>
            </w:r>
          </w:p>
        </w:tc>
      </w:tr>
      <w:tr w:rsidR="00CB2143" w14:paraId="2EED6C03" w14:textId="77777777" w:rsidTr="00074B69">
        <w:tc>
          <w:tcPr>
            <w:tcW w:w="2127" w:type="dxa"/>
          </w:tcPr>
          <w:p w14:paraId="669C5920" w14:textId="77777777" w:rsidR="00CB2143" w:rsidRDefault="00CB2143" w:rsidP="00074B69">
            <w:pPr>
              <w:keepNext/>
              <w:spacing w:line="220" w:lineRule="auto"/>
            </w:pPr>
            <w:r>
              <w:rPr>
                <w:sz w:val="18"/>
              </w:rPr>
              <w:t>Random, families only</w:t>
            </w:r>
          </w:p>
        </w:tc>
        <w:tc>
          <w:tcPr>
            <w:tcW w:w="1417" w:type="dxa"/>
          </w:tcPr>
          <w:p w14:paraId="1D26DE98" w14:textId="77777777" w:rsidR="00CB2143" w:rsidRDefault="00CB2143" w:rsidP="00074B69">
            <w:pPr>
              <w:keepNext/>
              <w:spacing w:line="220" w:lineRule="auto"/>
              <w:jc w:val="center"/>
            </w:pPr>
            <w:r>
              <w:rPr>
                <w:sz w:val="18"/>
              </w:rPr>
              <w:t>−41 ± 10</w:t>
            </w:r>
          </w:p>
        </w:tc>
        <w:tc>
          <w:tcPr>
            <w:tcW w:w="1559" w:type="dxa"/>
          </w:tcPr>
          <w:p w14:paraId="1E4F69DC" w14:textId="77777777" w:rsidR="00CB2143" w:rsidRDefault="00CB2143" w:rsidP="00074B69">
            <w:pPr>
              <w:keepNext/>
              <w:spacing w:line="220" w:lineRule="auto"/>
              <w:jc w:val="center"/>
            </w:pPr>
            <w:r>
              <w:rPr>
                <w:sz w:val="18"/>
              </w:rPr>
              <w:t>−30 ± 7</w:t>
            </w:r>
          </w:p>
        </w:tc>
      </w:tr>
      <w:tr w:rsidR="00CB2143" w14:paraId="2FA3C33B" w14:textId="77777777" w:rsidTr="00074B69">
        <w:tc>
          <w:tcPr>
            <w:tcW w:w="2127" w:type="dxa"/>
          </w:tcPr>
          <w:p w14:paraId="5BDD2BAF" w14:textId="77777777" w:rsidR="00CB2143" w:rsidRDefault="00CB2143" w:rsidP="00074B69">
            <w:pPr>
              <w:keepNext/>
              <w:spacing w:line="220" w:lineRule="auto"/>
            </w:pPr>
            <w:r>
              <w:rPr>
                <w:sz w:val="18"/>
              </w:rPr>
              <w:t>Random, with variations</w:t>
            </w:r>
          </w:p>
        </w:tc>
        <w:tc>
          <w:tcPr>
            <w:tcW w:w="1417" w:type="dxa"/>
          </w:tcPr>
          <w:p w14:paraId="3FBCBC7E" w14:textId="77777777" w:rsidR="00CB2143" w:rsidRDefault="00CB2143" w:rsidP="00074B69">
            <w:pPr>
              <w:keepNext/>
              <w:spacing w:line="220" w:lineRule="auto"/>
              <w:jc w:val="center"/>
            </w:pPr>
            <w:r>
              <w:rPr>
                <w:sz w:val="18"/>
              </w:rPr>
              <w:t>−34 ± 9</w:t>
            </w:r>
          </w:p>
        </w:tc>
        <w:tc>
          <w:tcPr>
            <w:tcW w:w="1559" w:type="dxa"/>
          </w:tcPr>
          <w:p w14:paraId="3D89E80B" w14:textId="77777777" w:rsidR="00CB2143" w:rsidRDefault="00CB2143" w:rsidP="00074B69">
            <w:pPr>
              <w:keepNext/>
              <w:spacing w:line="220" w:lineRule="auto"/>
              <w:jc w:val="center"/>
            </w:pPr>
            <w:r>
              <w:rPr>
                <w:sz w:val="18"/>
              </w:rPr>
              <w:t>−27 ± 7</w:t>
            </w:r>
          </w:p>
        </w:tc>
      </w:tr>
      <w:tr w:rsidR="00CB2143" w14:paraId="1E34A453" w14:textId="77777777" w:rsidTr="00074B69">
        <w:tc>
          <w:tcPr>
            <w:tcW w:w="2127" w:type="dxa"/>
          </w:tcPr>
          <w:p w14:paraId="1F3F32A9" w14:textId="77777777" w:rsidR="00CB2143" w:rsidRDefault="00CB2143" w:rsidP="00074B69">
            <w:pPr>
              <w:keepNext/>
              <w:spacing w:line="220" w:lineRule="auto"/>
            </w:pPr>
            <w:r>
              <w:rPr>
                <w:sz w:val="18"/>
              </w:rPr>
              <w:t>Evolutionary search</w:t>
            </w:r>
          </w:p>
        </w:tc>
        <w:tc>
          <w:tcPr>
            <w:tcW w:w="1417" w:type="dxa"/>
          </w:tcPr>
          <w:p w14:paraId="744C2942" w14:textId="77777777" w:rsidR="00CB2143" w:rsidRDefault="00CB2143" w:rsidP="00074B69">
            <w:pPr>
              <w:keepNext/>
              <w:spacing w:line="220" w:lineRule="auto"/>
              <w:jc w:val="center"/>
            </w:pPr>
            <w:r>
              <w:rPr>
                <w:sz w:val="18"/>
              </w:rPr>
              <w:t>−49 ± 12</w:t>
            </w:r>
          </w:p>
        </w:tc>
        <w:tc>
          <w:tcPr>
            <w:tcW w:w="1559" w:type="dxa"/>
          </w:tcPr>
          <w:p w14:paraId="0CD3BEC8" w14:textId="77777777" w:rsidR="00CB2143" w:rsidRDefault="00CB2143" w:rsidP="00074B69">
            <w:pPr>
              <w:keepNext/>
              <w:spacing w:line="220" w:lineRule="auto"/>
              <w:jc w:val="center"/>
            </w:pPr>
            <w:r>
              <w:rPr>
                <w:sz w:val="18"/>
              </w:rPr>
              <w:t>−38 ± 9</w:t>
            </w:r>
          </w:p>
        </w:tc>
      </w:tr>
      <w:tr w:rsidR="00CB2143" w14:paraId="2F3FB789" w14:textId="77777777" w:rsidTr="00074B69">
        <w:tc>
          <w:tcPr>
            <w:tcW w:w="2127" w:type="dxa"/>
          </w:tcPr>
          <w:p w14:paraId="5986DD1C" w14:textId="77777777" w:rsidR="00CB2143" w:rsidRDefault="00CB2143" w:rsidP="00074B69">
            <w:pPr>
              <w:keepNext/>
              <w:spacing w:line="220" w:lineRule="auto"/>
            </w:pPr>
            <w:r>
              <w:rPr>
                <w:sz w:val="18"/>
              </w:rPr>
              <w:t xml:space="preserve">GODA</w:t>
            </w:r>
          </w:p>
        </w:tc>
        <w:tc>
          <w:tcPr>
            <w:tcW w:w="1417" w:type="dxa"/>
          </w:tcPr>
          <w:p w14:paraId="25DD669F" w14:textId="77777777" w:rsidR="00CB2143" w:rsidRDefault="00CB2143" w:rsidP="00074B69">
            <w:pPr>
              <w:keepNext/>
              <w:spacing w:line="220" w:lineRule="auto"/>
              <w:jc w:val="center"/>
            </w:pPr>
            <w:r>
              <w:rPr>
                <w:sz w:val="18"/>
              </w:rPr>
              <w:t>−61 ± 14</w:t>
            </w:r>
          </w:p>
        </w:tc>
        <w:tc>
          <w:tcPr>
            <w:tcW w:w="1559" w:type="dxa"/>
          </w:tcPr>
          <w:p w14:paraId="39B6A75F" w14:textId="77777777" w:rsidR="00CB2143" w:rsidRDefault="00CB2143" w:rsidP="00074B69">
            <w:pPr>
              <w:keepNext/>
              <w:spacing w:line="220" w:lineRule="auto"/>
              <w:jc w:val="center"/>
            </w:pPr>
            <w:r>
              <w:rPr>
                <w:sz w:val="18"/>
              </w:rPr>
              <w:t>−48 ± 9</w:t>
            </w:r>
          </w:p>
        </w:tc>
      </w:tr>
      <w:tr w:rsidR="00CB2143" w14:paraId="3E1E29D6" w14:textId="77777777" w:rsidTr="00074B69">
        <w:tc>
          <w:tcPr>
            <w:tcW w:w="2127" w:type="dxa"/>
          </w:tcPr>
          <w:p w14:paraId="3A70DC4F" w14:textId="77777777" w:rsidR="00CB2143" w:rsidRDefault="00CB2143" w:rsidP="00074B69">
            <w:pPr>
              <w:keepNext/>
              <w:spacing w:line="220" w:lineRule="auto"/>
            </w:pPr>
            <w:r>
              <w:rPr>
                <w:sz w:val="18"/>
              </w:rPr>
              <w:t xml:space="preserve">GODA repeat</w:t>
            </w:r>
          </w:p>
        </w:tc>
        <w:tc>
          <w:tcPr>
            <w:tcW w:w="1417" w:type="dxa"/>
          </w:tcPr>
          <w:p w14:paraId="16C09EDD" w14:textId="77777777" w:rsidR="00CB2143" w:rsidRDefault="00CB2143" w:rsidP="00074B69">
            <w:pPr>
              <w:keepNext/>
              <w:spacing w:line="220" w:lineRule="auto"/>
              <w:jc w:val="center"/>
            </w:pPr>
            <w:r>
              <w:rPr>
                <w:sz w:val="18"/>
              </w:rPr>
              <w:t>−57 ± 13</w:t>
            </w:r>
          </w:p>
        </w:tc>
        <w:tc>
          <w:tcPr>
            <w:tcW w:w="1559" w:type="dxa"/>
          </w:tcPr>
          <w:p w14:paraId="769B47CB" w14:textId="77777777" w:rsidR="00CB2143" w:rsidRDefault="00CB2143" w:rsidP="00074B69">
            <w:pPr>
              <w:keepNext/>
              <w:spacing w:line="220" w:lineRule="auto"/>
              <w:jc w:val="center"/>
            </w:pPr>
            <w:r>
              <w:rPr>
                <w:sz w:val="18"/>
              </w:rPr>
              <w:t>−46 ± 9</w:t>
            </w:r>
          </w:p>
        </w:tc>
      </w:tr>
      <w:tr w:rsidR="00CB2143" w14:paraId="1707B683" w14:textId="77777777" w:rsidTr="00074B69">
        <w:tc>
          <w:tcPr>
            <w:tcW w:w="2127" w:type="dxa"/>
          </w:tcPr>
          <w:p w14:paraId="2637D095" w14:textId="77777777" w:rsidR="00CB2143" w:rsidRDefault="00CB2143" w:rsidP="00074B69">
            <w:pPr>
              <w:keepNext/>
              <w:spacing w:line="220" w:lineRule="auto"/>
            </w:pPr>
            <w:r>
              <w:rPr>
                <w:sz w:val="18"/>
              </w:rPr>
              <w:t>Independent gates</w:t>
            </w:r>
          </w:p>
        </w:tc>
        <w:tc>
          <w:tcPr>
            <w:tcW w:w="1417" w:type="dxa"/>
          </w:tcPr>
          <w:p w14:paraId="4649B5CD" w14:textId="77777777" w:rsidR="00CB2143" w:rsidRDefault="00CB2143" w:rsidP="00074B69">
            <w:pPr>
              <w:keepNext/>
              <w:spacing w:line="220" w:lineRule="auto"/>
              <w:jc w:val="center"/>
            </w:pPr>
            <w:r>
              <w:rPr>
                <w:sz w:val="18"/>
              </w:rPr>
              <w:t>−54 ± 12</w:t>
            </w:r>
          </w:p>
        </w:tc>
        <w:tc>
          <w:tcPr>
            <w:tcW w:w="1559" w:type="dxa"/>
          </w:tcPr>
          <w:p w14:paraId="14D052DD" w14:textId="77777777" w:rsidR="00CB2143" w:rsidRDefault="00CB2143" w:rsidP="00074B69">
            <w:pPr>
              <w:keepNext/>
              <w:spacing w:line="220" w:lineRule="auto"/>
              <w:jc w:val="center"/>
            </w:pPr>
            <w:r>
              <w:rPr>
                <w:sz w:val="18"/>
              </w:rPr>
              <w:t>−42 ± 9</w:t>
            </w:r>
          </w:p>
        </w:tc>
      </w:tr>
      <w:tr w:rsidR="00CB2143" w14:paraId="567B7AF2" w14:textId="77777777" w:rsidTr="00074B69">
        <w:tc>
          <w:tcPr>
            <w:tcW w:w="5103" w:type="dxa"/>
            <w:gridSpan w:val="3"/>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2127" w:type="dxa"/>
          </w:tcPr>
          <w:p w14:paraId="5A2876CC" w14:textId="77777777" w:rsidR="00CB2143" w:rsidRDefault="00CB2143" w:rsidP="00074B69">
            <w:pPr>
              <w:keepNext/>
              <w:spacing w:line="220" w:lineRule="auto"/>
            </w:pPr>
            <w:r>
              <w:rPr>
                <w:sz w:val="18"/>
              </w:rPr>
              <w:t>Suppression intensity error (replay)</w:t>
            </w:r>
          </w:p>
        </w:tc>
        <w:tc>
          <w:tcPr>
            <w:tcW w:w="1417" w:type="dxa"/>
          </w:tcPr>
          <w:p w14:paraId="5D6244A1" w14:textId="77777777" w:rsidR="00CB2143" w:rsidRDefault="00CB2143" w:rsidP="00074B69">
            <w:pPr>
              <w:keepNext/>
              <w:spacing w:line="220" w:lineRule="auto"/>
              <w:jc w:val="center"/>
            </w:pPr>
            <w:r>
              <w:rPr>
                <w:sz w:val="18"/>
              </w:rPr>
              <w:t>−56 ± 13</w:t>
            </w:r>
          </w:p>
        </w:tc>
        <w:tc>
          <w:tcPr>
            <w:tcW w:w="1559" w:type="dxa"/>
          </w:tcPr>
          <w:p w14:paraId="1DEFAA22" w14:textId="77777777" w:rsidR="00CB2143" w:rsidRDefault="00CB2143" w:rsidP="00074B69">
            <w:pPr>
              <w:keepNext/>
              <w:spacing w:line="220" w:lineRule="auto"/>
              <w:jc w:val="center"/>
            </w:pPr>
            <w:r>
              <w:rPr>
                <w:sz w:val="18"/>
              </w:rPr>
              <w:t>−45 ± 9</w:t>
            </w:r>
          </w:p>
        </w:tc>
      </w:tr>
      <w:tr w:rsidR="00CB2143" w14:paraId="12FF6603" w14:textId="77777777" w:rsidTr="00074B69">
        <w:tc>
          <w:tcPr>
            <w:tcW w:w="2127" w:type="dxa"/>
          </w:tcPr>
          <w:p w14:paraId="5FFD46F3" w14:textId="77777777" w:rsidR="00CB2143" w:rsidRDefault="00CB2143" w:rsidP="00074B69">
            <w:pPr>
              <w:keepNext/>
              <w:spacing w:line="220" w:lineRule="auto"/>
            </w:pPr>
            <w:r>
              <w:rPr>
                <w:sz w:val="18"/>
              </w:rPr>
              <w:t>Travel-effect decay error (replay)</w:t>
            </w:r>
          </w:p>
        </w:tc>
        <w:tc>
          <w:tcPr>
            <w:tcW w:w="1417" w:type="dxa"/>
          </w:tcPr>
          <w:p w14:paraId="1297B7E4" w14:textId="77777777" w:rsidR="00CB2143" w:rsidRDefault="00CB2143" w:rsidP="00074B69">
            <w:pPr>
              <w:keepNext/>
              <w:spacing w:line="220" w:lineRule="auto"/>
              <w:jc w:val="center"/>
            </w:pPr>
            <w:r>
              <w:rPr>
                <w:sz w:val="18"/>
              </w:rPr>
              <w:t>−54 ± 12</w:t>
            </w:r>
          </w:p>
        </w:tc>
        <w:tc>
          <w:tcPr>
            <w:tcW w:w="1559" w:type="dxa"/>
          </w:tcPr>
          <w:p w14:paraId="6176509C" w14:textId="77777777" w:rsidR="00CB2143" w:rsidRDefault="00CB2143" w:rsidP="00074B69">
            <w:pPr>
              <w:keepNext/>
              <w:spacing w:line="220" w:lineRule="auto"/>
              <w:jc w:val="center"/>
            </w:pPr>
            <w:r>
              <w:rPr>
                <w:sz w:val="18"/>
              </w:rPr>
              <w:t>−45 ± 8</w:t>
            </w:r>
          </w:p>
        </w:tc>
      </w:tr>
      <w:tr w:rsidR="00CB2143" w14:paraId="342F9925" w14:textId="77777777" w:rsidTr="00074B69">
        <w:tc>
          <w:tcPr>
            <w:tcW w:w="2127" w:type="dxa"/>
          </w:tcPr>
          <w:p w14:paraId="6AF945CC" w14:textId="77777777" w:rsidR="00CB2143" w:rsidRDefault="00CB2143" w:rsidP="00074B69">
            <w:pPr>
              <w:keepNext/>
              <w:spacing w:line="220" w:lineRule="auto"/>
            </w:pPr>
            <w:r>
              <w:rPr>
                <w:sz w:val="18"/>
              </w:rPr>
              <w:t>Knockdown threshold error (replay)</w:t>
            </w:r>
          </w:p>
        </w:tc>
        <w:tc>
          <w:tcPr>
            <w:tcW w:w="1417" w:type="dxa"/>
          </w:tcPr>
          <w:p w14:paraId="77F79299" w14:textId="77777777" w:rsidR="00CB2143" w:rsidRDefault="00CB2143" w:rsidP="00074B69">
            <w:pPr>
              <w:keepNext/>
              <w:spacing w:line="220" w:lineRule="auto"/>
              <w:jc w:val="center"/>
            </w:pPr>
            <w:r>
              <w:rPr>
                <w:sz w:val="18"/>
              </w:rPr>
              <w:t>−57 ± 12</w:t>
            </w:r>
          </w:p>
        </w:tc>
        <w:tc>
          <w:tcPr>
            <w:tcW w:w="1559" w:type="dxa"/>
          </w:tcPr>
          <w:p w14:paraId="6FC00292" w14:textId="77777777" w:rsidR="00CB2143" w:rsidRDefault="00CB2143" w:rsidP="00074B69">
            <w:pPr>
              <w:keepNext/>
              <w:spacing w:line="220" w:lineRule="auto"/>
              <w:jc w:val="center"/>
            </w:pPr>
            <w:r>
              <w:rPr>
                <w:sz w:val="18"/>
              </w:rPr>
              <w:t>−49 ± 9</w:t>
            </w:r>
          </w:p>
        </w:tc>
      </w:tr>
      <w:tr w:rsidR="00CB2143" w14:paraId="031CC044" w14:textId="77777777" w:rsidTr="00074B69">
        <w:tc>
          <w:tcPr>
            <w:tcW w:w="2127" w:type="dxa"/>
          </w:tcPr>
          <w:p w14:paraId="2112EEE5" w14:textId="77777777" w:rsidR="00CB2143" w:rsidRDefault="00CB2143" w:rsidP="00074B69">
            <w:pPr>
              <w:keepNext/>
              <w:spacing w:line="220" w:lineRule="auto"/>
            </w:pPr>
            <w:r>
              <w:rPr>
                <w:sz w:val="18"/>
              </w:rPr>
              <w:t>Weakened coating</w:t>
            </w:r>
          </w:p>
        </w:tc>
        <w:tc>
          <w:tcPr>
            <w:tcW w:w="1417" w:type="dxa"/>
          </w:tcPr>
          <w:p w14:paraId="6E63817C" w14:textId="77777777" w:rsidR="00CB2143" w:rsidRDefault="00CB2143" w:rsidP="00074B69">
            <w:pPr>
              <w:keepNext/>
              <w:spacing w:line="220" w:lineRule="auto"/>
              <w:jc w:val="center"/>
            </w:pPr>
            <w:r>
              <w:rPr>
                <w:sz w:val="18"/>
              </w:rPr>
              <w:t>−54 ± 12</w:t>
            </w:r>
          </w:p>
        </w:tc>
        <w:tc>
          <w:tcPr>
            <w:tcW w:w="1559" w:type="dxa"/>
          </w:tcPr>
          <w:p w14:paraId="7A6B5805" w14:textId="77777777" w:rsidR="00CB2143" w:rsidRDefault="00CB2143" w:rsidP="00074B69">
            <w:pPr>
              <w:keepNext/>
              <w:spacing w:line="220" w:lineRule="auto"/>
              <w:jc w:val="center"/>
            </w:pPr>
            <w:r>
              <w:rPr>
                <w:sz w:val="18"/>
              </w:rPr>
              <w:t>−41 ± 8</w:t>
            </w:r>
          </w:p>
        </w:tc>
      </w:tr>
      <w:tr w:rsidR="00CB2143" w14:paraId="13CBA767" w14:textId="77777777" w:rsidTr="00074B69">
        <w:tc>
          <w:tcPr>
            <w:tcW w:w="2127" w:type="dxa"/>
          </w:tcPr>
          <w:p w14:paraId="01089B57" w14:textId="77777777" w:rsidR="00CB2143" w:rsidRDefault="00CB2143" w:rsidP="00074B69">
            <w:pPr>
              <w:keepNext/>
              <w:spacing w:line="220" w:lineRule="auto"/>
            </w:pPr>
            <w:r>
              <w:rPr>
                <w:sz w:val="18"/>
              </w:rPr>
              <w:t>Ineffective coating</w:t>
            </w:r>
          </w:p>
        </w:tc>
        <w:tc>
          <w:tcPr>
            <w:tcW w:w="1417" w:type="dxa"/>
          </w:tcPr>
          <w:p w14:paraId="423C19A5" w14:textId="77777777" w:rsidR="00CB2143" w:rsidRDefault="00CB2143" w:rsidP="00074B69">
            <w:pPr>
              <w:keepNext/>
              <w:spacing w:line="220" w:lineRule="auto"/>
              <w:jc w:val="center"/>
            </w:pPr>
            <w:r>
              <w:rPr>
                <w:sz w:val="18"/>
              </w:rPr>
              <w:t>−33 ± 9</w:t>
            </w:r>
          </w:p>
        </w:tc>
        <w:tc>
          <w:tcPr>
            <w:tcW w:w="1559" w:type="dxa"/>
          </w:tcPr>
          <w:p w14:paraId="16B0B2E5" w14:textId="77777777" w:rsidR="00CB2143" w:rsidRDefault="00CB2143" w:rsidP="00074B69">
            <w:pPr>
              <w:keepNext/>
              <w:spacing w:line="220" w:lineRule="auto"/>
              <w:jc w:val="center"/>
            </w:pPr>
            <w:r>
              <w:rPr>
                <w:sz w:val="18"/>
              </w:rPr>
              <w:t>−24 ± 7</w:t>
            </w:r>
          </w:p>
        </w:tc>
      </w:tr>
      <w:tr w:rsidR="00CB2143" w14:paraId="6CD31A82" w14:textId="77777777" w:rsidTr="00074B69">
        <w:tc>
          <w:tcPr>
            <w:tcW w:w="2127" w:type="dxa"/>
          </w:tcPr>
          <w:p w14:paraId="06E1D457" w14:textId="77777777" w:rsidR="00CB2143" w:rsidRDefault="00CB2143" w:rsidP="00074B69">
            <w:pPr>
              <w:keepNext/>
              <w:spacing w:line="220" w:lineRule="auto"/>
            </w:pPr>
            <w:r>
              <w:rPr>
                <w:sz w:val="18"/>
              </w:rPr>
              <w:t>Coating price ×2</w:t>
            </w:r>
          </w:p>
        </w:tc>
        <w:tc>
          <w:tcPr>
            <w:tcW w:w="1417" w:type="dxa"/>
          </w:tcPr>
          <w:p w14:paraId="209BD0BE" w14:textId="77777777" w:rsidR="00CB2143" w:rsidRDefault="00CB2143" w:rsidP="00074B69">
            <w:pPr>
              <w:keepNext/>
              <w:spacing w:line="220" w:lineRule="auto"/>
              <w:jc w:val="center"/>
            </w:pPr>
            <w:r>
              <w:rPr>
                <w:sz w:val="18"/>
              </w:rPr>
              <w:t>−60 ± 13</w:t>
            </w:r>
          </w:p>
        </w:tc>
        <w:tc>
          <w:tcPr>
            <w:tcW w:w="1559" w:type="dxa"/>
          </w:tcPr>
          <w:p w14:paraId="14A3D946" w14:textId="77777777" w:rsidR="00CB2143" w:rsidRDefault="00CB2143" w:rsidP="00074B69">
            <w:pPr>
              <w:keepNext/>
              <w:spacing w:line="220" w:lineRule="auto"/>
              <w:jc w:val="center"/>
            </w:pPr>
            <w:r>
              <w:rPr>
                <w:sz w:val="18"/>
              </w:rPr>
              <w:t>−46 ± 9</w:t>
            </w:r>
          </w:p>
        </w:tc>
      </w:tr>
      <w:tr w:rsidR="00CB2143" w14:paraId="5E0D1D6A" w14:textId="77777777" w:rsidTr="00074B69">
        <w:tc>
          <w:tcPr>
            <w:tcW w:w="2127" w:type="dxa"/>
          </w:tcPr>
          <w:p w14:paraId="79ACE363" w14:textId="77777777" w:rsidR="00CB2143" w:rsidRDefault="00CB2143" w:rsidP="00074B69">
            <w:pPr>
              <w:keepNext/>
              <w:spacing w:line="220" w:lineRule="auto"/>
            </w:pPr>
            <w:r>
              <w:rPr>
                <w:sz w:val="18"/>
              </w:rPr>
              <w:t>Coating stock 20 ha</w:t>
            </w:r>
          </w:p>
        </w:tc>
        <w:tc>
          <w:tcPr>
            <w:tcW w:w="1417" w:type="dxa"/>
          </w:tcPr>
          <w:p w14:paraId="789C3809" w14:textId="77777777" w:rsidR="00CB2143" w:rsidRDefault="00CB2143" w:rsidP="00074B69">
            <w:pPr>
              <w:keepNext/>
              <w:spacing w:line="220" w:lineRule="auto"/>
              <w:jc w:val="center"/>
            </w:pPr>
            <w:r>
              <w:rPr>
                <w:sz w:val="18"/>
              </w:rPr>
              <w:t>−53 ± 13</w:t>
            </w:r>
          </w:p>
        </w:tc>
        <w:tc>
          <w:tcPr>
            <w:tcW w:w="1559" w:type="dxa"/>
          </w:tcPr>
          <w:p w14:paraId="1C1EA0D7" w14:textId="77777777" w:rsidR="00CB2143" w:rsidRDefault="00CB2143" w:rsidP="00074B69">
            <w:pPr>
              <w:keepNext/>
              <w:spacing w:line="220" w:lineRule="auto"/>
              <w:jc w:val="center"/>
            </w:pPr>
            <w:r>
              <w:rPr>
                <w:sz w:val="18"/>
              </w:rPr>
              <w:t>−42 ± 9</w:t>
            </w:r>
          </w:p>
        </w:tc>
      </w:tr>
      <w:tr w:rsidR="00CB2143" w14:paraId="074BF02B" w14:textId="77777777" w:rsidTr="00074B69">
        <w:tc>
          <w:tcPr>
            <w:tcW w:w="2127" w:type="dxa"/>
          </w:tcPr>
          <w:p w14:paraId="382E4606" w14:textId="77777777" w:rsidR="00CB2143" w:rsidRDefault="00CB2143" w:rsidP="00074B69">
            <w:pPr>
              <w:keepNext/>
              <w:spacing w:line="220" w:lineRule="auto"/>
            </w:pPr>
            <w:r>
              <w:rPr>
                <w:sz w:val="18"/>
              </w:rPr>
              <w:t>Coating delay 12 min</w:t>
            </w:r>
          </w:p>
        </w:tc>
        <w:tc>
          <w:tcPr>
            <w:tcW w:w="1417" w:type="dxa"/>
          </w:tcPr>
          <w:p w14:paraId="624117D7" w14:textId="77777777" w:rsidR="00CB2143" w:rsidRDefault="00CB2143" w:rsidP="00074B69">
            <w:pPr>
              <w:keepNext/>
              <w:spacing w:line="220" w:lineRule="auto"/>
              <w:jc w:val="center"/>
            </w:pPr>
            <w:r>
              <w:rPr>
                <w:sz w:val="18"/>
              </w:rPr>
              <w:t>−50 ± 12</w:t>
            </w:r>
          </w:p>
        </w:tc>
        <w:tc>
          <w:tcPr>
            <w:tcW w:w="1559" w:type="dxa"/>
          </w:tcPr>
          <w:p w14:paraId="763C6DC4" w14:textId="77777777" w:rsidR="00CB2143" w:rsidRDefault="00CB2143" w:rsidP="00074B69">
            <w:pPr>
              <w:keepNext/>
              <w:spacing w:line="220" w:lineRule="auto"/>
              <w:jc w:val="center"/>
            </w:pPr>
            <w:r>
              <w:rPr>
                <w:sz w:val="18"/>
              </w:rPr>
              <w:t>−39 ± 8</w:t>
            </w:r>
          </w:p>
        </w:tc>
      </w:tr>
      <w:tr w:rsidR="00CB2143" w14:paraId="517BB937" w14:textId="77777777" w:rsidTr="00074B69">
        <w:tc>
          <w:tcPr>
            <w:tcW w:w="2127" w:type="dxa"/>
          </w:tcPr>
          <w:p w14:paraId="07494DC2" w14:textId="77777777" w:rsidR="00CB2143" w:rsidRDefault="00CB2143" w:rsidP="00074B69">
            <w:pPr>
              <w:keepNext/>
              <w:spacing w:line="220" w:lineRule="auto"/>
            </w:pPr>
            <w:r>
              <w:rPr>
                <w:sz w:val="18"/>
              </w:rPr>
              <w:t>Wind speed ×1.5</w:t>
            </w:r>
          </w:p>
        </w:tc>
        <w:tc>
          <w:tcPr>
            <w:tcW w:w="1417" w:type="dxa"/>
          </w:tcPr>
          <w:p w14:paraId="2238BE6E" w14:textId="77777777" w:rsidR="00CB2143" w:rsidRDefault="00CB2143" w:rsidP="00074B69">
            <w:pPr>
              <w:keepNext/>
              <w:spacing w:line="220" w:lineRule="auto"/>
              <w:jc w:val="center"/>
            </w:pPr>
            <w:r>
              <w:rPr>
                <w:sz w:val="18"/>
              </w:rPr>
              <w:t>−44 ± 12</w:t>
            </w:r>
          </w:p>
        </w:tc>
        <w:tc>
          <w:tcPr>
            <w:tcW w:w="1559" w:type="dxa"/>
          </w:tcPr>
          <w:p w14:paraId="75EE4937" w14:textId="77777777" w:rsidR="00CB2143" w:rsidRDefault="00CB2143" w:rsidP="00074B69">
            <w:pPr>
              <w:keepNext/>
              <w:spacing w:line="220" w:lineRule="auto"/>
              <w:jc w:val="center"/>
            </w:pPr>
            <w:r>
              <w:rPr>
                <w:sz w:val="18"/>
              </w:rPr>
              <w:t>−35 ± 9</w:t>
            </w:r>
          </w:p>
        </w:tc>
      </w:tr>
      <w:tr w:rsidR="00CB2143" w14:paraId="6C4F4D78" w14:textId="77777777" w:rsidTr="00074B69">
        <w:tc>
          <w:tcPr>
            <w:tcW w:w="2127" w:type="dxa"/>
          </w:tcPr>
          <w:p w14:paraId="127D6519" w14:textId="77777777" w:rsidR="00CB2143" w:rsidRDefault="00CB2143" w:rsidP="00074B69">
            <w:pPr>
              <w:keepNext/>
              <w:spacing w:line="220" w:lineRule="auto"/>
            </w:pPr>
            <w:r>
              <w:rPr>
                <w:sz w:val="18"/>
              </w:rPr>
              <w:t>Wind direction +30°</w:t>
            </w:r>
          </w:p>
        </w:tc>
        <w:tc>
          <w:tcPr>
            <w:tcW w:w="1417" w:type="dxa"/>
          </w:tcPr>
          <w:p w14:paraId="6F9C3C0F" w14:textId="77777777" w:rsidR="00CB2143" w:rsidRDefault="00CB2143" w:rsidP="00074B69">
            <w:pPr>
              <w:keepNext/>
              <w:spacing w:line="220" w:lineRule="auto"/>
              <w:jc w:val="center"/>
            </w:pPr>
            <w:r>
              <w:rPr>
                <w:sz w:val="18"/>
              </w:rPr>
              <w:t>−58 ± 13</w:t>
            </w:r>
          </w:p>
        </w:tc>
        <w:tc>
          <w:tcPr>
            <w:tcW w:w="1559" w:type="dxa"/>
          </w:tcPr>
          <w:p w14:paraId="57B8EC55" w14:textId="77777777" w:rsidR="00CB2143" w:rsidRDefault="00CB2143" w:rsidP="00074B69">
            <w:pPr>
              <w:keepNext/>
              <w:spacing w:line="220" w:lineRule="auto"/>
              <w:jc w:val="center"/>
            </w:pPr>
            <w:r>
              <w:rPr>
                <w:sz w:val="18"/>
              </w:rPr>
              <w:t>−47 ± 9</w:t>
            </w:r>
          </w:p>
        </w:tc>
      </w:tr>
      <w:tr w:rsidR="00CB2143" w14:paraId="1A63FB17" w14:textId="77777777" w:rsidTr="00074B69">
        <w:tc>
          <w:tcPr>
            <w:tcW w:w="2127" w:type="dxa"/>
          </w:tcPr>
          <w:p w14:paraId="395BF792" w14:textId="77777777" w:rsidR="00CB2143" w:rsidRDefault="00CB2143" w:rsidP="00074B69">
            <w:pPr>
              <w:spacing w:line="220" w:lineRule="auto"/>
            </w:pPr>
            <w:r>
              <w:rPr>
                <w:sz w:val="18"/>
              </w:rPr>
              <w:t>Wind direction −30°</w:t>
            </w:r>
          </w:p>
        </w:tc>
        <w:tc>
          <w:tcPr>
            <w:tcW w:w="1417" w:type="dxa"/>
          </w:tcPr>
          <w:p w14:paraId="18356300" w14:textId="77777777" w:rsidR="00CB2143" w:rsidRDefault="00CB2143" w:rsidP="00074B69">
            <w:pPr>
              <w:spacing w:line="220" w:lineRule="auto"/>
              <w:jc w:val="center"/>
            </w:pPr>
            <w:r>
              <w:rPr>
                <w:sz w:val="18"/>
              </w:rPr>
              <w:t>−63 ± 14</w:t>
            </w:r>
          </w:p>
        </w:tc>
        <w:tc>
          <w:tcPr>
            <w:tcW w:w="1559" w:type="dxa"/>
          </w:tcPr>
          <w:p w14:paraId="5323AB00" w14:textId="77777777" w:rsidR="00CB2143" w:rsidRDefault="00CB2143" w:rsidP="00074B69">
            <w:pPr>
              <w:spacing w:line="220" w:lineRule="auto"/>
              <w:jc w:val="center"/>
            </w:pPr>
            <w:r>
              <w:rPr>
                <w:sz w:val="18"/>
              </w:rPr>
              <w:t>−49 ± 10</w:t>
            </w:r>
          </w:p>
        </w:tc>
      </w:tr>
      <w:tr w:rsidR="00CB2143" w14:paraId="6FEEB272" w14:textId="77777777" w:rsidTr="00074B69">
        <w:tc>
          <w:tcPr>
            <w:tcW w:w="2127" w:type="dxa"/>
          </w:tcPr>
          <w:p w14:paraId="04073796" w14:textId="77777777" w:rsidR="00CB2143" w:rsidRDefault="00CB2143" w:rsidP="00074B69">
            <w:pPr>
              <w:spacing w:line="220" w:lineRule="auto"/>
            </w:pPr>
            <w:r>
              <w:rPr>
                <w:sz w:val="18"/>
              </w:rPr>
              <w:t>Spread kernel and ember model</w:t>
            </w:r>
          </w:p>
        </w:tc>
        <w:tc>
          <w:tcPr>
            <w:tcW w:w="1417" w:type="dxa"/>
          </w:tcPr>
          <w:p w14:paraId="4CE8751C" w14:textId="77777777" w:rsidR="00CB2143" w:rsidRDefault="00CB2143" w:rsidP="00074B69">
            <w:pPr>
              <w:spacing w:line="220" w:lineRule="auto"/>
              <w:jc w:val="center"/>
            </w:pPr>
            <w:r>
              <w:rPr>
                <w:sz w:val="18"/>
              </w:rPr>
              <w:t>−56 ± 12</w:t>
            </w:r>
          </w:p>
        </w:tc>
        <w:tc>
          <w:tcPr>
            <w:tcW w:w="1559" w:type="dxa"/>
          </w:tcPr>
          <w:p w14:paraId="3BBF406B" w14:textId="77777777" w:rsidR="00CB2143" w:rsidRDefault="00CB2143" w:rsidP="00074B69">
            <w:pPr>
              <w:spacing w:line="220" w:lineRule="auto"/>
              <w:jc w:val="center"/>
            </w:pPr>
            <w:r>
              <w:rPr>
                <w:sz w:val="18"/>
              </w:rPr>
              <w:t>−45 ± 9</w:t>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With weakened coating the advantage is 54 ± 12%, and with the coating effect removed the remaining mechanisms still give 33 ± 9%; these settings bracket the variation of retardant and line effectiveness with intensity and timing reported in [53], and across them the advantage runs from 33% to 61%. Known price, stock and delay limits retain 60%, 53% and 50%, respectively. In the 44 nominal worlds where GODA fields no coating, a subset it selects itself, area still falls by 34 ± 18% and 36 incidents are extinguished, against 70 ± 16% in the other 106; 181 of the 359 admitted objects contain no coating clause. Wind direction errors retain 58% and 63% area reductions, and a 50% speed error leaves 44 ± 12%, with 73% of incidents extinguished. Under the structurally different spread model, where the shape of the front and the mechanism of long-range ignition differ between the planner and the world, the advantage is 56 ± 12% with 85% of incidents extinguished against 52%, worse in 7 of 150 worlds.</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The four recorded tactics are the composed interventions admitted in at least 7 of the 75 derivation worlds, a fixed rule applied before the transfer tests; they are line and attack, interface hardening, asset collar (logged under the model's own name, populated ready belt), and head coating; all four are ordinary initial-attack moves, retardant ahead of the head or around a settlement and lines blended with attack or protection, placed by forecast; they differ from the hand-written tactics of Table IV in their antecedents, bands and amounts, which the search set on forecasts rather than by hand.</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VIII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composed interventions carried as rules of the doctrine, carry most of it: derived from 75 worlds and used as doctrine on 75 held-out worlds of the same families,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76AFE765" w14:textId="777D8926" w:rsidR="00FF0CB1" w:rsidRDefault="00DB0B75">
      <w:pPr>
        <w:pStyle w:val="Text"/>
        <w:spacing w:line="240" w:lineRule="auto"/>
        <w:rPr>
          <w:noProof/>
        </w:rPr>
      </w:pPr>
      <w:r>
        <w:t xml:space="preserve">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r>
      <w:r>
        <w:rPr>
          <w:noProof/>
        </w:rPr>
        <w:instrText xml:space="preserve"> SEQ Table \* ROMAN </w:instrText>
      </w:r>
      <w:r>
        <w:rPr>
          <w:noProof/>
        </w:rPr>
        <w:fldChar w:fldCharType="separate"/>
      </w:r>
      <w:r w:rsidR="001C6998">
        <w:rPr>
          <w:noProof/>
        </w:rPr>
        <w:t>VIII</w:t>
      </w:r>
      <w:r>
        <w:rPr>
          <w:noProof/>
        </w:rPr>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F3C258E" w14:textId="77777777" w:rsidTr="00BE6A21">
        <w:tc>
          <w:tcPr>
            <w:tcW w:w="2977" w:type="dxa"/>
            <w:vAlign w:val="center"/>
          </w:tcPr>
          <w:p w14:paraId="5669E2A0"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851" w:type="dxa"/>
            <w:vAlign w:val="center"/>
          </w:tcPr>
          <w:p w14:paraId="10C73B14" w14:textId="77777777" w:rsidR="00FF0CB1" w:rsidRDefault="00DB0B75">
            <w:pPr>
              <w:keepNext/>
              <w:spacing w:line="220" w:lineRule="auto"/>
              <w:jc w:val="center"/>
            </w:pPr>
            <w:r>
              <w:rPr>
                <w:b/>
                <w:sz w:val="18"/>
              </w:rPr>
              <w:t>Δ burned area (%)</w:t>
            </w:r>
          </w:p>
        </w:tc>
        <w:tc>
          <w:tcPr>
            <w:tcW w:w="787" w:type="dxa"/>
            <w:vAlign w:val="center"/>
          </w:tcPr>
          <w:p w14:paraId="46323586" w14:textId="77777777" w:rsidR="00FF0CB1" w:rsidRDefault="00DB0B75">
            <w:pPr>
              <w:keepNext/>
              <w:spacing w:line="220" w:lineRule="auto"/>
              <w:jc w:val="center"/>
            </w:pPr>
            <w:r>
              <w:rPr>
                <w:b/>
                <w:sz w:val="18"/>
              </w:rPr>
              <w:t>Δ total cost (%)</w:t>
            </w:r>
          </w:p>
        </w:tc>
      </w:tr>
      <w:tr w:rsidR="00FF0CB1" w14:paraId="1F41BC73" w14:textId="77777777" w:rsidTr="00BE6A21">
        <w:tc>
          <w:tcPr>
            <w:tcW w:w="2977" w:type="dxa"/>
            <w:vAlign w:val="center"/>
          </w:tcPr>
          <w:p w14:paraId="11798431"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851" w:type="dxa"/>
            <w:vAlign w:val="center"/>
          </w:tcPr>
          <w:p w14:paraId="5773663B" w14:textId="77777777" w:rsidR="00FF0CB1" w:rsidRDefault="00DB0B75">
            <w:pPr>
              <w:keepNext/>
              <w:spacing w:line="220" w:lineRule="auto"/>
              <w:jc w:val="center"/>
            </w:pPr>
            <w:r>
              <w:rPr>
                <w:sz w:val="18"/>
              </w:rPr>
              <w:t>−11 ± 8</w:t>
            </w:r>
          </w:p>
        </w:tc>
        <w:tc>
          <w:tcPr>
            <w:tcW w:w="787" w:type="dxa"/>
            <w:vAlign w:val="center"/>
          </w:tcPr>
          <w:p w14:paraId="0125B948" w14:textId="77777777" w:rsidR="00FF0CB1" w:rsidRDefault="00DB0B75">
            <w:pPr>
              <w:keepNext/>
              <w:spacing w:line="220" w:lineRule="auto"/>
              <w:jc w:val="center"/>
            </w:pPr>
            <w:r>
              <w:rPr>
                <w:sz w:val="18"/>
              </w:rPr>
              <w:t>+1 ± 6</w:t>
            </w:r>
          </w:p>
        </w:tc>
      </w:tr>
      <w:tr w:rsidR="00FF0CB1" w14:paraId="1F41BC73" w14:textId="77777777" w:rsidTr="00BE6A21">
        <w:trPr/>
        <w:tc>
          <w:tcPr>
            <w:tcW w:w="2977" w:type="dxa"/>
            <w:vAlign w:val="center"/>
          </w:tcPr>
          <w:p w14:paraId="11798431" w14:textId="77777777" w:rsidR="00FF0CB1" w:rsidRDefault="00DB0B75">
            <w:pPr>
              <w:keepNext/>
              <w:spacing w:line="220" w:lineRule="auto"/>
              <w:rPr/>
            </w:pPr>
            <w:r>
              <w:rPr>
                <w:sz w:val="18"/>
              </w:rPr>
              <w:t xml:space="preserve">Seeds + six hand-written effect tactics + Closed / Seeds + Closed</w:t>
            </w:r>
          </w:p>
        </w:tc>
        <w:tc>
          <w:tcPr>
            <w:tcW w:w="425" w:type="dxa"/>
            <w:tcMar>
              <w:left w:w="20" w:type="dxa"/>
              <w:right w:w="20" w:type="dxa"/>
            </w:tcMar>
            <w:vAlign w:val="center"/>
          </w:tcPr>
          <w:p w14:paraId="7DD109D7" w14:textId="77777777" w:rsidR="00FF0CB1" w:rsidRDefault="00DB0B75">
            <w:pPr>
              <w:keepNext/>
              <w:spacing w:line="220" w:lineRule="auto"/>
              <w:jc w:val="center"/>
              <w:rPr/>
            </w:pPr>
            <w:r>
              <w:rPr>
                <w:sz w:val="18"/>
              </w:rPr>
              <w:t xml:space="preserve">150</w:t>
            </w:r>
          </w:p>
        </w:tc>
        <w:tc>
          <w:tcPr>
            <w:tcW w:w="851" w:type="dxa"/>
            <w:vAlign w:val="center"/>
          </w:tcPr>
          <w:p w14:paraId="5773663B" w14:textId="77777777" w:rsidR="00FF0CB1" w:rsidRDefault="00DB0B75">
            <w:pPr>
              <w:keepNext/>
              <w:spacing w:line="220" w:lineRule="auto"/>
              <w:jc w:val="center"/>
              <w:rPr/>
            </w:pPr>
            <w:r>
              <w:rPr>
                <w:sz w:val="18"/>
              </w:rPr>
              <w:t xml:space="preserve">−9 ± 6</w:t>
            </w:r>
          </w:p>
        </w:tc>
        <w:tc>
          <w:tcPr>
            <w:tcW w:w="787" w:type="dxa"/>
            <w:vAlign w:val="center"/>
          </w:tcPr>
          <w:p w14:paraId="0125B948" w14:textId="77777777" w:rsidR="00FF0CB1" w:rsidRDefault="00DB0B75">
            <w:pPr>
              <w:keepNext/>
              <w:spacing w:line="220" w:lineRule="auto"/>
              <w:jc w:val="center"/>
              <w:rPr/>
            </w:pPr>
            <w:r>
              <w:rPr>
                <w:sz w:val="18"/>
              </w:rPr>
              <w:t xml:space="preserve">−2 ± 5</w:t>
            </w:r>
          </w:p>
        </w:tc>
      </w:tr>
      <w:tr w:rsidR="00FF0CB1" w14:paraId="27EC6BE8" w14:textId="77777777" w:rsidTr="00BE6A21">
        <w:tc>
          <w:tcPr>
            <w:tcW w:w="2977" w:type="dxa"/>
            <w:vAlign w:val="center"/>
          </w:tcPr>
          <w:p w14:paraId="37E75195"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851" w:type="dxa"/>
            <w:vAlign w:val="center"/>
          </w:tcPr>
          <w:p w14:paraId="4B508F70" w14:textId="77777777" w:rsidR="00FF0CB1" w:rsidRDefault="00DB0B75">
            <w:pPr>
              <w:keepNext/>
              <w:spacing w:line="220" w:lineRule="auto"/>
              <w:jc w:val="center"/>
            </w:pPr>
            <w:r>
              <w:rPr>
                <w:sz w:val="18"/>
              </w:rPr>
              <w:t>−50 ± 15</w:t>
            </w:r>
          </w:p>
        </w:tc>
        <w:tc>
          <w:tcPr>
            <w:tcW w:w="787" w:type="dxa"/>
            <w:vAlign w:val="center"/>
          </w:tcPr>
          <w:p w14:paraId="6C9B9693" w14:textId="77777777" w:rsidR="00FF0CB1" w:rsidRDefault="00DB0B75">
            <w:pPr>
              <w:keepNext/>
              <w:spacing w:line="220" w:lineRule="auto"/>
              <w:jc w:val="center"/>
            </w:pPr>
            <w:r>
              <w:rPr>
                <w:sz w:val="18"/>
              </w:rPr>
              <w:t>−40 ± 11</w:t>
            </w:r>
          </w:p>
        </w:tc>
      </w:tr>
      <w:tr w:rsidR="00FF0CB1" w14:paraId="2EC7D498" w14:textId="77777777" w:rsidTr="00BE6A21">
        <w:tc>
          <w:tcPr>
            <w:tcW w:w="2977" w:type="dxa"/>
            <w:vAlign w:val="center"/>
          </w:tcPr>
          <w:p w14:paraId="33F46957"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851" w:type="dxa"/>
            <w:vAlign w:val="center"/>
          </w:tcPr>
          <w:p w14:paraId="5DAE7A14" w14:textId="77777777" w:rsidR="00FF0CB1" w:rsidRDefault="00DB0B75">
            <w:pPr>
              <w:keepNext/>
              <w:spacing w:line="220" w:lineRule="auto"/>
              <w:jc w:val="center"/>
            </w:pPr>
            <w:r>
              <w:rPr>
                <w:sz w:val="18"/>
              </w:rPr>
              <w:t>+40 ± 12</w:t>
            </w:r>
          </w:p>
        </w:tc>
        <w:tc>
          <w:tcPr>
            <w:tcW w:w="787" w:type="dxa"/>
            <w:vAlign w:val="center"/>
          </w:tcPr>
          <w:p w14:paraId="098E2FAE" w14:textId="77777777" w:rsidR="00FF0CB1" w:rsidRDefault="00DB0B75">
            <w:pPr>
              <w:keepNext/>
              <w:spacing w:line="220" w:lineRule="auto"/>
              <w:jc w:val="center"/>
            </w:pPr>
            <w:r>
              <w:rPr>
                <w:sz w:val="18"/>
              </w:rPr>
              <w:t>+35 ± 9</w:t>
            </w:r>
          </w:p>
        </w:tc>
      </w:tr>
      <w:tr w:rsidR="00FF0CB1" w14:paraId="5AB3F74E" w14:textId="77777777" w:rsidTr="00BE6A21">
        <w:tc>
          <w:tcPr>
            <w:tcW w:w="2977" w:type="dxa"/>
            <w:vAlign w:val="center"/>
          </w:tcPr>
          <w:p w14:paraId="43338F67"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851" w:type="dxa"/>
            <w:vAlign w:val="center"/>
          </w:tcPr>
          <w:p w14:paraId="2DF0AE40" w14:textId="77777777" w:rsidR="00FF0CB1" w:rsidRDefault="00DB0B75">
            <w:pPr>
              <w:keepNext/>
              <w:spacing w:line="220" w:lineRule="auto"/>
              <w:jc w:val="center"/>
            </w:pPr>
            <w:r>
              <w:rPr>
                <w:sz w:val="18"/>
              </w:rPr>
              <w:t>−42 ± 13</w:t>
            </w:r>
          </w:p>
        </w:tc>
        <w:tc>
          <w:tcPr>
            <w:tcW w:w="787" w:type="dxa"/>
            <w:vAlign w:val="center"/>
          </w:tcPr>
          <w:p w14:paraId="0559A24C" w14:textId="77777777" w:rsidR="00FF0CB1" w:rsidRDefault="00DB0B75">
            <w:pPr>
              <w:keepNext/>
              <w:spacing w:line="220" w:lineRule="auto"/>
              <w:jc w:val="center"/>
            </w:pPr>
            <w:r>
              <w:rPr>
                <w:sz w:val="18"/>
              </w:rPr>
              <w:t>−30 ± 9</w:t>
            </w:r>
          </w:p>
        </w:tc>
      </w:tr>
      <w:tr w:rsidR="00FF0CB1" w14:paraId="671CDF8D" w14:textId="77777777" w:rsidTr="00BE6A21">
        <w:tc>
          <w:tcPr>
            <w:tcW w:w="2977" w:type="dxa"/>
            <w:vAlign w:val="center"/>
          </w:tcPr>
          <w:p w14:paraId="45233FEE"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851" w:type="dxa"/>
            <w:vAlign w:val="center"/>
          </w:tcPr>
          <w:p w14:paraId="7EEA21DB" w14:textId="77777777" w:rsidR="00FF0CB1" w:rsidRDefault="00DB0B75">
            <w:pPr>
              <w:keepNext/>
              <w:spacing w:line="220" w:lineRule="auto"/>
              <w:jc w:val="center"/>
            </w:pPr>
            <w:r>
              <w:rPr>
                <w:sz w:val="18"/>
              </w:rPr>
              <w:t>−43 ± 11</w:t>
            </w:r>
          </w:p>
        </w:tc>
        <w:tc>
          <w:tcPr>
            <w:tcW w:w="787" w:type="dxa"/>
            <w:vAlign w:val="center"/>
          </w:tcPr>
          <w:p w14:paraId="7721CF5B" w14:textId="77777777" w:rsidR="00FF0CB1" w:rsidRDefault="00DB0B75">
            <w:pPr>
              <w:keepNext/>
              <w:spacing w:line="220" w:lineRule="auto"/>
              <w:jc w:val="center"/>
            </w:pPr>
            <w:r>
              <w:rPr>
                <w:sz w:val="18"/>
              </w:rPr>
              <w:t>−34 ± 8</w:t>
            </w:r>
          </w:p>
        </w:tc>
      </w:tr>
      <w:tr w:rsidR="00FF0CB1" w14:paraId="3D1AC4CD" w14:textId="77777777" w:rsidTr="00BE6A21">
        <w:tc>
          <w:tcPr>
            <w:tcW w:w="2977" w:type="dxa"/>
            <w:vAlign w:val="center"/>
          </w:tcPr>
          <w:p w14:paraId="59B90A0D"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851" w:type="dxa"/>
            <w:vAlign w:val="center"/>
          </w:tcPr>
          <w:p w14:paraId="259805F2" w14:textId="77777777" w:rsidR="00FF0CB1" w:rsidRDefault="00DB0B75">
            <w:pPr>
              <w:keepNext/>
              <w:spacing w:line="220" w:lineRule="auto"/>
              <w:jc w:val="center"/>
            </w:pPr>
            <w:r>
              <w:rPr>
                <w:sz w:val="18"/>
              </w:rPr>
              <w:t>−1 ± 18</w:t>
            </w:r>
          </w:p>
        </w:tc>
        <w:tc>
          <w:tcPr>
            <w:tcW w:w="787" w:type="dxa"/>
            <w:vAlign w:val="center"/>
          </w:tcPr>
          <w:p w14:paraId="5428D25B" w14:textId="77777777" w:rsidR="00FF0CB1" w:rsidRDefault="00DB0B75">
            <w:pPr>
              <w:keepNext/>
              <w:spacing w:line="220" w:lineRule="auto"/>
              <w:jc w:val="center"/>
            </w:pPr>
            <w:r>
              <w:rPr>
                <w:sz w:val="18"/>
              </w:rPr>
              <w:t>−4 ± 11</w:t>
            </w:r>
          </w:p>
        </w:tc>
      </w:tr>
      <w:tr w:rsidR="00FF0CB1" w14:paraId="445BAE8E" w14:textId="77777777" w:rsidTr="00BE6A21">
        <w:tc>
          <w:tcPr>
            <w:tcW w:w="2977" w:type="dxa"/>
            <w:vAlign w:val="center"/>
          </w:tcPr>
          <w:p w14:paraId="46FCBAD9"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851" w:type="dxa"/>
            <w:vAlign w:val="center"/>
          </w:tcPr>
          <w:p w14:paraId="4E50086A" w14:textId="77777777" w:rsidR="00FF0CB1" w:rsidRDefault="00DB0B75">
            <w:pPr>
              <w:keepNext/>
              <w:spacing w:line="220" w:lineRule="auto"/>
              <w:jc w:val="center"/>
            </w:pPr>
            <w:r>
              <w:rPr>
                <w:sz w:val="18"/>
              </w:rPr>
              <w:t>−28 ± 10</w:t>
            </w:r>
          </w:p>
        </w:tc>
        <w:tc>
          <w:tcPr>
            <w:tcW w:w="787" w:type="dxa"/>
            <w:vAlign w:val="center"/>
          </w:tcPr>
          <w:p w14:paraId="6F5FAC23" w14:textId="77777777" w:rsidR="00FF0CB1" w:rsidRDefault="00DB0B75">
            <w:pPr>
              <w:keepNext/>
              <w:spacing w:line="220" w:lineRule="auto"/>
              <w:jc w:val="center"/>
            </w:pPr>
            <w:r>
              <w:rPr>
                <w:sz w:val="18"/>
              </w:rPr>
              <w:t>−22 ± 6</w:t>
            </w:r>
          </w:p>
        </w:tc>
      </w:tr>
      <w:tr w:rsidR="00FF0CB1" w14:paraId="1D9F23BE" w14:textId="77777777" w:rsidTr="00BE6A21">
        <w:tc>
          <w:tcPr>
            <w:tcW w:w="2977" w:type="dxa"/>
            <w:vAlign w:val="center"/>
          </w:tcPr>
          <w:p w14:paraId="0C445089"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851" w:type="dxa"/>
            <w:vAlign w:val="center"/>
          </w:tcPr>
          <w:p w14:paraId="260D9C84" w14:textId="77777777" w:rsidR="00FF0CB1" w:rsidRDefault="00DB0B75">
            <w:pPr>
              <w:keepNext/>
              <w:spacing w:line="220" w:lineRule="auto"/>
              <w:jc w:val="center"/>
            </w:pPr>
            <w:r>
              <w:rPr>
                <w:sz w:val="18"/>
              </w:rPr>
              <w:t>−35 ± 21</w:t>
            </w:r>
          </w:p>
        </w:tc>
        <w:tc>
          <w:tcPr>
            <w:tcW w:w="787" w:type="dxa"/>
            <w:vAlign w:val="center"/>
          </w:tcPr>
          <w:p w14:paraId="733A4612" w14:textId="77777777" w:rsidR="00FF0CB1" w:rsidRDefault="00DB0B75">
            <w:pPr>
              <w:keepNext/>
              <w:spacing w:line="220" w:lineRule="auto"/>
              <w:jc w:val="center"/>
            </w:pPr>
            <w:r>
              <w:rPr>
                <w:sz w:val="18"/>
              </w:rPr>
              <w:t>−22 ± 11</w:t>
            </w:r>
          </w:p>
        </w:tc>
      </w:tr>
      <w:tr w:rsidR="00FF0CB1" w14:paraId="5807CC2E" w14:textId="77777777" w:rsidTr="00BE6A21">
        <w:tc>
          <w:tcPr>
            <w:tcW w:w="2977" w:type="dxa"/>
            <w:vAlign w:val="center"/>
          </w:tcPr>
          <w:p w14:paraId="7D2AE598" w14:textId="281AD440"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851" w:type="dxa"/>
            <w:vAlign w:val="center"/>
          </w:tcPr>
          <w:p w14:paraId="12AA4177" w14:textId="77777777" w:rsidR="00FF0CB1" w:rsidRDefault="00DB0B75">
            <w:pPr>
              <w:spacing w:line="220" w:lineRule="auto"/>
              <w:jc w:val="center"/>
            </w:pPr>
            <w:r>
              <w:rPr>
                <w:sz w:val="18"/>
              </w:rPr>
              <w:t>−27 ± 16</w:t>
            </w:r>
          </w:p>
        </w:tc>
        <w:tc>
          <w:tcPr>
            <w:tcW w:w="787" w:type="dxa"/>
            <w:vAlign w:val="center"/>
          </w:tcPr>
          <w:p w14:paraId="289E3298" w14:textId="77777777" w:rsidR="00FF0CB1" w:rsidRDefault="00DB0B75">
            <w:pPr>
              <w:spacing w:line="220" w:lineRule="auto"/>
              <w:jc w:val="center"/>
            </w:pPr>
            <w:r>
              <w:rPr>
                <w:sz w:val="18"/>
              </w:rPr>
              <w:t>−18 ± 11</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w:t>
      </w:r>
      <w:r>
        <w:t xml:space="preserve"> Actual LLM-call cycles, including the gated search, have a 16 s ninetieth percentile and 55 s maximum, below the 12 min decision interval. </w:t>
      </w:r>
      <w:r>
        <w:fldChar w:fldCharType="begin"/>
      </w:r>
      <w:r>
        <w:instrText>REF _RefFig9 \h</w:instrText>
      </w:r>
      <w:r>
        <w:fldChar w:fldCharType="separate"/>
      </w:r>
      <w:r w:rsidR="001C6998">
        <w:rPr>
          <w:sz w:val="18"/>
        </w:rPr>
        <w:t>Fig. 7</w:t>
      </w:r>
      <w:r>
        <w:fldChar w:fldCharType="end"/>
      </w:r>
      <w:r>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rsidR="00926552">
        <w:t>. Discussion and Conclusion</w:t>
      </w:r>
    </w:p>
    <w:p w14:paraId="5630BD8E" w14:textId="742BD1CE" w:rsidR="00FF0CB1" w:rsidRDefault="00DB0B75">
      <w:pPr>
        <w:pStyle w:val="Text"/>
        <w:spacing w:line="240" w:lineRule="auto"/>
      </w:pPr>
      <w:r>
        <w:t xml:space="preserve">GODA extends the decision space of a wildfire DSS through gated composition of executable physical effects. On 150 paired worlds, it reduces burned area by 61%, affected population by 80% and response cost by 46%, while increasing extinguished incidents from 52% to 91%.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 hand-written doctrine over the same effects gains little, while the recorded tactics carried by the closed layer as doctrine carry most of it. What the closed layer lacks is therefore first the search on forecasts and then the compositions that search finds from good seeds. The contribution is the architecture around the search: an executable effect grammar, gates that rank candidates on forecasts rather than on the proposer, and a doctrine that records what the search admits, so that interventions are discovered, checked and reused over a fixed executable basis.</w:t>
      </w:r>
    </w:p>
    <w:p w14:paraId="26E4C15C" w14:textId="30C50EEF" w:rsidR="00FF0CB1" w:rsidRDefault="00DB0B75">
      <w:pPr>
        <w:pStyle w:val="Text"/>
        <w:spacing w:line="240" w:lineRule="auto"/>
      </w:pPr>
      <w:r>
        <w:t xml:space="preserve">The gain persists under the tested model errors and operating limits, including ineffective coating, faster-than-planned wind and a different spread model in the world. The gain holds under perturbed rates and directions of spread, under perturbed suppression and coating effects, and under a structurally different spread model in the live world, so it does not rest on the planner sharing the structure of the world; the hazard model itself is assessed against recorded fires in Section V-B. The synthetic worlds are sized to the initial-attack window, the first hours in which the consequential decisions fall; the hindcast fires are larger because the recorded fires are those that grew beyond that window.</w:t>
      </w:r>
    </w:p>
    <w:p w14:paraId="30DAB8EB" w14:textId="2055D6A3" w:rsidR="00FF0CB1" w:rsidRDefault="00DB0B75">
      <w:pPr>
        <w:pStyle w:val="Text"/>
        <w:spacing w:line="240" w:lineRule="auto"/>
      </w:pPr>
      <w:r>
        <w:t xml:space="preserve">Recorded doctrine and continued generation are complementary: transfer supplies a useful initial doctrine, and generation retains value within the incident, on the new conditions and on the control set alike.</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 CPU harness without model calls.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4"/>
                        <w:r>
                          <w:rPr>
                            <w:sz w:val="18"/>
                          </w:rPr>
                          <w:t>. Decision time by agents and grid size, CPU harness without model calls.</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Communication delay, partial information between regions and distributed failure are not modeled, so the architecture is evaluated as one process rather than as a distributed deployment. Generated orders, including tactical ignition and aerial coating, are recommendations; their execution follows the safety rules of the operating agency, which lie outside the decision core. Two further limits bound the claims: the effect operators are modelling assumptions, bounded by the coating settings of Table VII rather than calibrated on observed operations; and the hand-written tactics of Table IV were written once and not tuned on forecasts, so their margin measures doctrine as written. The secondary comparisons are reported with unadjusted intervals and the language model is a hosted one, so the attribution among search, grammar and proposer is indicative rather than exact. Future work will calibrate the effect operators against observed operations and test another hazard through its model and intervention vocabulary.</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[2]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[3]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[4]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[5]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[6]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[7]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[8]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[9]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[10]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[11]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[12]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[13]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[14]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[15]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[16]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[17]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[18]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[19]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w:t>
                    </w:r>
                    <w:r>
                      <w:rPr>
                        <w:noProof/>
                      </w:rPr>
                      <w:t xml:space="preserve">Policy Analysis. Cambridge, U.K.: Cambridge Univ. Press, 1990.</w:t>
                    </w:r>
                    <w:r>
                      <w:rPr>
                        <w:noProof/>
                      </w:rPr>
                      <w:t xml:space="preserve">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[20] </w:t>
                    </w:r>
                  </w:p>
                </w:tc>
                <w:tc>
                  <w:tcPr>
                    <w:tcW w:w="0" w:type="auto"/>
                    <w:hideMark/>
                  </w:tcPr>
                  <w:p w14:paraId="3C614A8C" w14:textId="77777777" w:rsidR="005401C1" w:rsidRDefault="005401C1">
                    <w:pPr>
                      <w:pStyle w:val="Bibliography"/>
                      <w:rPr>
                        <w:noProof/>
                      </w:rPr>
                    </w:pPr>
                    <w:r>
                      <w:rPr>
                        <w:noProof/>
                      </w:rPr>
                      <w:t xml:space="preserve">G. Shafer, </w:t>
                    </w:r>
                    <w:r>
                      <w:rPr>
                        <w:noProof/>
                      </w:rPr>
                      <w:t xml:space="preserve">A Mathematical Theory of Evidence. Princeton, NJ, USA: Princeton Univ. Press, 1976.</w:t>
                    </w:r>
                    <w:r>
                      <w:rPr>
                        <w:noProof/>
                      </w:rPr>
                      <w:t xml:space="preserve">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[21]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[22]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[23]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[24]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[25]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[26] </w:t>
                    </w:r>
                  </w:p>
                </w:tc>
                <w:tc>
                  <w:tcPr>
                    <w:tcW w:w="0" w:type="auto"/>
                    <w:hideMark/>
                  </w:tcPr>
                  <w:p w14:paraId="301B1F2B" w14:textId="77777777" w:rsidR="005401C1" w:rsidRDefault="005401C1">
                    <w:pPr>
                      <w:pStyle w:val="Bibliography"/>
                      <w:rPr>
                        <w:noProof/>
                      </w:rPr>
                    </w:pPr>
                    <w:r>
                      <w:rPr>
                        <w:noProof/>
                      </w:rPr>
                      <w:t xml:space="preserve">S. French, J. Maule and N. Papamichail, </w:t>
                    </w:r>
                    <w:r>
                      <w:rPr>
                        <w:noProof/>
                      </w:rPr>
                      <w:t xml:space="preserve">Decision Behaviour, Analysis and Support. Cambridge, U.K.: Cambridge Univ. Press, 2009.</w:t>
                    </w:r>
                    <w:r>
                      <w:rPr>
                        <w:noProof/>
                      </w:rPr>
                      <w:t xml:space="preserve">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[27]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[28]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[29]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[30]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[31]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[32]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411E4611" w14:textId="77777777">
                <w:trPr>
                  <w:divId w:val="299961452"/>
                  <w:tblCellSpacing w:w="15" w:type="dxa"/>
                </w:trPr>
                <w:tc>
                  <w:tcPr>
                    <w:tcW w:w="50" w:type="pct"/>
                    <w:hideMark/>
                  </w:tcPr>
                  <w:p w14:paraId="78FD9830" w14:textId="77777777" w:rsidR="005401C1" w:rsidRDefault="005401C1">
                    <w:pPr>
                      <w:pStyle w:val="Bibliography"/>
                      <w:rPr>
                        <w:noProof/>
                      </w:rPr>
                    </w:pPr>
                    <w:r>
                      <w:rPr>
                        <w:noProof/>
                      </w:rPr>
                      <w:t xml:space="preserve">[33] </w:t>
                    </w:r>
                  </w:p>
                </w:tc>
                <w:tc>
                  <w:tcPr>
                    <w:tcW w:w="0" w:type="auto"/>
                    <w:hideMark/>
                  </w:tcPr>
                  <w:p w14:paraId="6373F4B4"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 xml:space="preserve">Proc. Int. Conf. Mach. Learn. (ICML)</w:t>
                    </w:r>
                    <w:r>
                      <w:rPr>
                        <w:noProof/>
                      </w:rPr>
                      <w:t xml:space="preserve">, 2024. </w:t>
                    </w:r>
                  </w:p>
                </w:tc>
              </w:tr>
              <w:tr w:rsidR="005401C1" w14:paraId="13E4A100" w14:textId="77777777">
                <w:trPr>
                  <w:divId w:val="299961452"/>
                  <w:tblCellSpacing w:w="15" w:type="dxa"/>
                </w:trPr>
                <w:tc>
                  <w:tcPr>
                    <w:tcW w:w="50" w:type="pct"/>
                    <w:hideMark/>
                  </w:tcPr>
                  <w:p w14:paraId="405339A9" w14:textId="77777777" w:rsidR="005401C1" w:rsidRDefault="005401C1">
                    <w:pPr>
                      <w:pStyle w:val="Bibliography"/>
                      <w:rPr>
                        <w:noProof/>
                      </w:rPr>
                    </w:pPr>
                    <w:r>
                      <w:rPr>
                        <w:noProof/>
                      </w:rPr>
                      <w:t xml:space="preserve">[34] </w:t>
                    </w:r>
                  </w:p>
                </w:tc>
                <w:tc>
                  <w:tcPr>
                    <w:tcW w:w="0" w:type="auto"/>
                    <w:hideMark/>
                  </w:tcPr>
                  <w:p w14:paraId="4CA9E8B4" w14:textId="77777777" w:rsidR="005401C1" w:rsidRDefault="005401C1">
                    <w:pPr>
                      <w:pStyle w:val="Bibliography"/>
                      <w:rPr>
                        <w:noProof/>
                      </w:rPr>
                    </w:pPr>
                    <w:r>
                      <w:rPr>
                        <w:noProof/>
                      </w:rPr>
                      <w:t xml:space="preserve">F. Liu et al., "Evolution of heuristics: Towards efficient automatic algorithm design using large language model," in </w:t>
                    </w:r>
                    <w:r>
                      <w:rPr>
                        <w:i/>
                        <w:iCs/>
                        <w:noProof/>
                      </w:rPr>
                      <w:t xml:space="preserve">Proc. Int. Conf. Mach. Learn. (ICML)</w:t>
                    </w:r>
                    <w:r>
                      <w:rPr>
                        <w:noProof/>
                      </w:rPr>
                      <w:t xml:space="preserve">, 2024. </w:t>
                    </w:r>
                  </w:p>
                </w:tc>
              </w:tr>
              <w:tr w:rsidR="005401C1" w14:paraId="090D2E3C" w14:textId="77777777">
                <w:trPr>
                  <w:divId w:val="299961452"/>
                  <w:tblCellSpacing w:w="15" w:type="dxa"/>
                </w:trPr>
                <w:tc>
                  <w:tcPr>
                    <w:tcW w:w="50" w:type="pct"/>
                    <w:hideMark/>
                  </w:tcPr>
                  <w:p w14:paraId="7C30F2B6" w14:textId="77777777" w:rsidR="005401C1" w:rsidRDefault="005401C1">
                    <w:pPr>
                      <w:pStyle w:val="Bibliography"/>
                      <w:rPr>
                        <w:noProof/>
                      </w:rPr>
                    </w:pPr>
                    <w:r>
                      <w:rPr>
                        <w:noProof/>
                      </w:rPr>
                      <w:t xml:space="preserve">[35] </w:t>
                    </w:r>
                  </w:p>
                </w:tc>
                <w:tc>
                  <w:tcPr>
                    <w:tcW w:w="0" w:type="auto"/>
                    <w:hideMark/>
                  </w:tcPr>
                  <w:p w14:paraId="439AE751"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55A0DD2F" w14:textId="77777777">
                <w:trPr>
                  <w:divId w:val="299961452"/>
                  <w:tblCellSpacing w:w="15" w:type="dxa"/>
                </w:trPr>
                <w:tc>
                  <w:tcPr>
                    <w:tcW w:w="50" w:type="pct"/>
                    <w:hideMark/>
                  </w:tcPr>
                  <w:p w14:paraId="2AE00D3B" w14:textId="77777777" w:rsidR="005401C1" w:rsidRDefault="005401C1">
                    <w:pPr>
                      <w:pStyle w:val="Bibliography"/>
                      <w:rPr>
                        <w:noProof/>
                      </w:rPr>
                    </w:pPr>
                    <w:r>
                      <w:rPr>
                        <w:noProof/>
                      </w:rPr>
                      <w:t xml:space="preserve">[36] </w:t>
                    </w:r>
                  </w:p>
                </w:tc>
                <w:tc>
                  <w:tcPr>
                    <w:tcW w:w="0" w:type="auto"/>
                    <w:hideMark/>
                  </w:tcPr>
                  <w:p w14:paraId="4ED4B820"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 xml:space="preserve">Proc. IEEE/RSJ Int. Conf. Intell. Robots Syst. (IROS)</w:t>
                    </w:r>
                    <w:r>
                      <w:rPr>
                        <w:noProof/>
                      </w:rPr>
                      <w:t xml:space="preserve">, 2018, pp. 1067-1074. </w:t>
                    </w:r>
                  </w:p>
                </w:tc>
              </w:tr>
              <w:tr w:rsidR="005401C1" w14:paraId="0EAE30CC" w14:textId="77777777">
                <w:trPr>
                  <w:divId w:val="299961452"/>
                  <w:tblCellSpacing w:w="15" w:type="dxa"/>
                </w:trPr>
                <w:tc>
                  <w:tcPr>
                    <w:tcW w:w="50" w:type="pct"/>
                    <w:hideMark/>
                  </w:tcPr>
                  <w:p w14:paraId="7D873164" w14:textId="77777777" w:rsidR="005401C1" w:rsidRDefault="005401C1">
                    <w:pPr>
                      <w:pStyle w:val="Bibliography"/>
                      <w:rPr>
                        <w:noProof/>
                      </w:rPr>
                    </w:pPr>
                    <w:r>
                      <w:rPr>
                        <w:noProof/>
                      </w:rPr>
                      <w:t xml:space="preserve">[37] </w:t>
                    </w:r>
                  </w:p>
                </w:tc>
                <w:tc>
                  <w:tcPr>
                    <w:tcW w:w="0" w:type="auto"/>
                    <w:hideMark/>
                  </w:tcPr>
                  <w:p w14:paraId="7B10C6CD" w14:textId="77777777" w:rsidR="005401C1" w:rsidRDefault="005401C1">
                    <w:pPr>
                      <w:pStyle w:val="Bibliography"/>
                      <w:rPr>
                        <w:noProof/>
                      </w:rPr>
                    </w:pPr>
                    <w:r>
                      <w:rPr>
                        <w:noProof/>
                      </w:rPr>
                      <w:t xml:space="preserve">L. Ntaimo, J. A. Gallego-Arrubla, C. Stripling, J. Young and T. Spencer, "A stochastic programming standard response model for wildfire initial attack planning," </w:t>
                    </w:r>
                    <w:r>
                      <w:rPr>
                        <w:i/>
                        <w:iCs/>
                        <w:noProof/>
                      </w:rPr>
                      <w:t xml:space="preserve">Can. J. For. Res., </w:t>
                    </w:r>
                    <w:r>
                      <w:rPr>
                        <w:noProof/>
                      </w:rPr>
                      <w:t xml:space="preserve">vol. 42, pp. 987-1001, 2012. </w:t>
                    </w:r>
                  </w:p>
                </w:tc>
              </w:tr>
              <w:tr w:rsidR="005401C1" w14:paraId="4442DBF4" w14:textId="77777777">
                <w:trPr>
                  <w:divId w:val="299961452"/>
                  <w:tblCellSpacing w:w="15" w:type="dxa"/>
                </w:trPr>
                <w:tc>
                  <w:tcPr>
                    <w:tcW w:w="50" w:type="pct"/>
                    <w:hideMark/>
                  </w:tcPr>
                  <w:p w14:paraId="21EAB832" w14:textId="77777777" w:rsidR="005401C1" w:rsidRDefault="005401C1">
                    <w:pPr>
                      <w:pStyle w:val="Bibliography"/>
                      <w:rPr>
                        <w:noProof/>
                      </w:rPr>
                    </w:pPr>
                    <w:r>
                      <w:rPr>
                        <w:noProof/>
                      </w:rPr>
                      <w:t xml:space="preserve">[38] </w:t>
                    </w:r>
                  </w:p>
                </w:tc>
                <w:tc>
                  <w:tcPr>
                    <w:tcW w:w="0" w:type="auto"/>
                    <w:hideMark/>
                  </w:tcPr>
                  <w:p w14:paraId="63203F79" w14:textId="77777777" w:rsidR="005401C1" w:rsidRDefault="005401C1">
                    <w:pPr>
                      <w:pStyle w:val="Bibliography"/>
                      <w:rPr>
                        <w:noProof/>
                      </w:rPr>
                    </w:pPr>
                    <w:r>
                      <w:rPr>
                        <w:noProof/>
                      </w:rPr>
                      <w:t xml:space="preserve">R. G. Haight and J. S. Fried, "Deploying wildland fire suppression resources with a stochastic programming model," </w:t>
                    </w:r>
                    <w:r>
                      <w:rPr>
                        <w:i/>
                        <w:iCs/>
                        <w:noProof/>
                      </w:rPr>
                      <w:t xml:space="preserve">INFOR, </w:t>
                    </w:r>
                    <w:r>
                      <w:rPr>
                        <w:noProof/>
                      </w:rPr>
                      <w:t xml:space="preserve">vol. 45, pp. 31-39, 2007. </w:t>
                    </w:r>
                  </w:p>
                </w:tc>
              </w:tr>
              <w:tr w:rsidR="005401C1" w14:paraId="2BA1A0EC" w14:textId="77777777">
                <w:trPr>
                  <w:divId w:val="299961452"/>
                  <w:tblCellSpacing w:w="15" w:type="dxa"/>
                </w:trPr>
                <w:tc>
                  <w:tcPr>
                    <w:tcW w:w="50" w:type="pct"/>
                    <w:hideMark/>
                  </w:tcPr>
                  <w:p w14:paraId="6456F8A1" w14:textId="77777777" w:rsidR="005401C1" w:rsidRDefault="005401C1">
                    <w:pPr>
                      <w:pStyle w:val="Bibliography"/>
                      <w:rPr>
                        <w:noProof/>
                      </w:rPr>
                    </w:pPr>
                    <w:r>
                      <w:rPr>
                        <w:noProof/>
                      </w:rPr>
                      <w:t xml:space="preserve">[39] </w:t>
                    </w:r>
                  </w:p>
                </w:tc>
                <w:tc>
                  <w:tcPr>
                    <w:tcW w:w="0" w:type="auto"/>
                    <w:hideMark/>
                  </w:tcPr>
                  <w:p w14:paraId="664098D8" w14:textId="77777777" w:rsidR="005401C1" w:rsidRDefault="005401C1">
                    <w:pPr>
                      <w:pStyle w:val="Bibliography"/>
                      <w:rPr>
                        <w:noProof/>
                      </w:rPr>
                    </w:pPr>
                    <w:r>
                      <w:rPr>
                        <w:noProof/>
                      </w:rPr>
                      <w:t xml:space="preserve">E. J. Belval, Y. Wei and M. Bevers, "A mixed integer program to model spatial wildfire behavior and suppression placement decisions," </w:t>
                    </w:r>
                    <w:r>
                      <w:rPr>
                        <w:i/>
                        <w:iCs/>
                        <w:noProof/>
                      </w:rPr>
                      <w:t xml:space="preserve">Can. J. For. Res., </w:t>
                    </w:r>
                    <w:r>
                      <w:rPr>
                        <w:noProof/>
                      </w:rPr>
                      <w:t xml:space="preserve">vol. 45, pp. 1622-1633, 2015.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[40]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[41]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[42]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[43]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vol. 5, no. 2, pp. 269-284, 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[44]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[45]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[46]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[47]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[48]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[49] </w:t>
                    </w:r>
                  </w:p>
                </w:tc>
                <w:tc>
                  <w:tcPr>
                    <w:tcW w:w="0" w:type="auto"/>
                    <w:hideMark/>
                  </w:tcPr>
                  <w:p w14:paraId="41248C04" w14:textId="77777777" w:rsidR="005401C1" w:rsidRDefault="005401C1">
                    <w:pPr>
                      <w:pStyle w:val="Bibliography"/>
                      <w:rPr>
                        <w:noProof/>
                      </w:rPr>
                    </w:pPr>
                    <w:r>
                      <w:rPr>
                        <w:noProof/>
                      </w:rPr>
                      <w:t xml:space="preserve">M. Ahn et al., </w:t>
                    </w:r>
                    <w:r>
                      <w:rPr>
                        <w:noProof/>
                      </w:rPr>
                      <w:t xml:space="preserve">"Do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[50]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[51]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[52]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[53]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[54]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[55]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[56]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5CE76FE4" w14:textId="77777777">
                <w:trPr>
                  <w:divId w:val="299961452"/>
                  <w:tblCellSpacing w:w="15" w:type="dxa"/>
                </w:trPr>
                <w:tc>
                  <w:tcPr>
                    <w:tcW w:w="50" w:type="pct"/>
                    <w:hideMark/>
                  </w:tcPr>
                  <w:p w14:paraId="61650C72" w14:textId="77777777" w:rsidR="005401C1" w:rsidRDefault="005401C1">
                    <w:pPr>
                      <w:pStyle w:val="Bibliography"/>
                      <w:rPr>
                        <w:noProof/>
                      </w:rPr>
                    </w:pPr>
                    <w:r>
                      <w:rPr>
                        <w:noProof/>
                      </w:rPr>
                      <w:t xml:space="preserve">[57] </w:t>
                    </w:r>
                  </w:p>
                </w:tc>
                <w:tc>
                  <w:tcPr>
                    <w:tcW w:w="0" w:type="auto"/>
                    <w:hideMark/>
                  </w:tcPr>
                  <w:p w14:paraId="6057D90B" w14:textId="77777777" w:rsidR="005401C1" w:rsidRDefault="005401C1">
                    <w:pPr>
                      <w:pStyle w:val="Bibliography"/>
                      <w:rPr>
                        <w:noProof/>
                      </w:rPr>
                    </w:pPr>
                    <w:r>
                      <w:rPr>
                        <w:noProof/>
                      </w:rPr>
                      <w:t xml:space="preserve">L. Chen, M. Zaharia and J. Zou, "How is ChatGPT's behavior changing over time?," </w:t>
                    </w:r>
                    <w:r>
                      <w:rPr>
                        <w:i/>
                        <w:iCs/>
                        <w:noProof/>
                      </w:rPr>
                      <w:t xml:space="preserve">Harvard Data Sci. Rev., </w:t>
                    </w:r>
                    <w:r>
                      <w:rPr>
                        <w:noProof/>
                      </w:rPr>
                      <w:t xml:space="preserve">vol. 6, no. 2, 2024.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Akman</w:t>
      </w:r>
      <w:r>
        <w:t xml:space="preserve"> received the B.S. and M.S. degrees in electrical and electronics engineering from Middle East Technical University (METU), Ankara, Türkiye, in 2008 and 2017, respectively, and the Ph.D. degree there in 2026. His work covers advanced sensor systems, decision support architectures, and command and control software.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40</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41</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42</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44</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45</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46</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51</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52</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54</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55</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56</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50</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Volume>5</b:Volume>
    <b:Issue>2</b:Issue>
    <b:Pages>269-284</b:Pages>
    <b:RefOrder>43</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47</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48</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49</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53</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33</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35</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36</b:RefOrder>
  </b:Source>
  <b:Source>
    <b:Tag>Ntaimo12</b:Tag>
    <b:SourceType>JournalArticle</b:SourceType>
    <b:Guid>{9C3701F0-107B-4B6E-B04D-F1D6838CFA03}</b:Guid>
    <b:Author>
      <b:Author>
        <b:NameList>
          <b:Person>
            <b:Last>Ntaimo</b:Last>
            <b:First>L.</b:First>
          </b:Person>
          <b:Person>
            <b:Last>Gallego-Arrubla</b:Last>
            <b:First>J. A.</b:First>
          </b:Person>
          <b:Person>
            <b:Last>Stripling</b:Last>
            <b:First>C.</b:First>
          </b:Person>
          <b:Person>
            <b:Last>Young</b:Last>
            <b:First>J.</b:First>
          </b:Person>
          <b:Person>
            <b:Last>Spencer</b:Last>
            <b:First>T.</b:First>
          </b:Person>
        </b:NameList>
      </b:Author>
    </b:Author>
    <b:Title>A stochastic programming standard response model for wildfire initial attack planning</b:Title>
    <b:JournalName>Can. J. For. Res.</b:JournalName>
    <b:Year>2012</b:Year>
    <b:Volume>42</b:Volume>
    <b:Pages>987-1001</b:Pages>
    <b:RefOrder>37</b:RefOrder>
  </b:Source>
  <b:Source>
    <b:Tag>Haight07</b:Tag>
    <b:SourceType>JournalArticle</b:SourceType>
    <b:Guid>{8550EE2F-541E-4D09-B590-1CFF7291CC35}</b:Guid>
    <b:Author>
      <b:Author>
        <b:NameList>
          <b:Person>
            <b:Last>Haight</b:Last>
            <b:First>R. G.</b:First>
          </b:Person>
          <b:Person>
            <b:Last>Fried</b:Last>
            <b:First>J. S.</b:First>
          </b:Person>
        </b:NameList>
      </b:Author>
    </b:Author>
    <b:Title>Deploying wildland fire suppression resources with a stochastic programming model</b:Title>
    <b:JournalName>INFOR</b:JournalName>
    <b:Year>2007</b:Year>
    <b:Volume>45</b:Volume>
    <b:Pages>31-39</b:Pages>
    <b:RefOrder>38</b:RefOrder>
  </b:Source>
  <b:Source>
    <b:Tag>Chen24</b:Tag>
    <b:SourceType>JournalArticle</b:SourceType>
    <b:Guid>{312C8FCD-E913-446C-8F62-96619B8CA945}</b:Guid>
    <b:Author>
      <b:Author>
        <b:NameList>
          <b:Person>
            <b:Last>Chen</b:Last>
            <b:First>L.</b:First>
          </b:Person>
          <b:Person>
            <b:Last>Zaharia</b:Last>
            <b:First>M.</b:First>
          </b:Person>
          <b:Person>
            <b:Last>Zou</b:Last>
            <b:First>J.</b:First>
          </b:Person>
        </b:NameList>
      </b:Author>
    </b:Author>
    <b:Title>How is ChatGPT's behavior changing over time?</b:Title>
    <b:JournalName>Harvard Data Sci. Rev.</b:JournalName>
    <b:Year>2024</b:Year>
    <b:Volume>6</b:Volume>
    <b:Issue>2</b:Issue>
    <b:RefOrder>57</b:RefOrder>
  </b:Source>
  <b:Source>
    <b:Tag>Liu24</b:Tag>
    <b:SourceType>ConferenceProceedings</b:SourceType>
    <b:Guid>{A15CB6AA-E270-43D8-979D-43AA7FE6FA78}</b:Guid>
    <b:Author>
      <b:Author>
        <b:NameList>
          <b:Person>
            <b:Last>Liu</b:Last>
            <b:First>F.</b:First>
          </b:Person>
          <b:Person>
            <b:Last>Tong</b:Last>
            <b:First>X.</b:First>
          </b:Person>
          <b:Person>
            <b:Last>Yuan</b:Last>
            <b:First>M.</b:First>
          </b:Person>
          <b:Person>
            <b:Last>Lin</b:Last>
            <b:First>X.</b:First>
          </b:Person>
          <b:Person>
            <b:Last>Luo</b:Last>
            <b:First>F.</b:First>
          </b:Person>
          <b:Person>
            <b:Last>Wang</b:Last>
            <b:First>Z.</b:First>
          </b:Person>
          <b:Person>
            <b:Last>Lu</b:Last>
            <b:First>Z.</b:First>
          </b:Person>
          <b:Person>
            <b:Last>Zhang</b:Last>
            <b:First>Q.</b:First>
          </b:Person>
        </b:NameList>
      </b:Author>
    </b:Author>
    <b:Title>Evolution of heuristics: Towards efficient automatic algorithm design using large language model</b:Title>
    <b:ConferenceName>Proc. Int. Conf. Mach. Learn. (ICML)</b:ConferenceName>
    <b:Year>2024</b:Year>
    <b:RefOrder>34</b:RefOrder>
  </b:Source>
  <b:Source>
    <b:Tag>Belval15</b:Tag>
    <b:SourceType>JournalArticle</b:SourceType>
    <b:Guid>{E1E93689-2878-4E3F-9E8D-12C253431CB0}</b:Guid>
    <b:Author>
      <b:Author>
        <b:NameList>
          <b:Person>
            <b:Last>Belval</b:Last>
            <b:First>E. J.</b:First>
          </b:Person>
          <b:Person>
            <b:Last>Wei</b:Last>
            <b:First>Y.</b:First>
          </b:Person>
          <b:Person>
            <b:Last>Bevers</b:Last>
            <b:First>M.</b:First>
          </b:Person>
        </b:NameList>
      </b:Author>
    </b:Author>
    <b:Title>A mixed integer program to model spatial wildfire behavior and suppression placement decisions</b:Title>
    <b:JournalName>Can. J. For. Res.</b:JournalName>
    <b:Year>2015</b:Year>
    <b:Volume>45</b:Volume>
    <b:Pages>1622-1633</b:Pages>
    <b:RefOrder>39</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