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and by 24% against an equal-budget evolutionary search over the same grammar,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with independent gate futures the advantage over the closed layer is 54%.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39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w:instrText>
          </w:r>
          <w:r>
            <w:fldChar w:fldCharType="separate"/>
          </w:r>
          <w:r>
            <w:rPr>
              <w:noProof/>
            </w:rPr>
            <w:t>[53]</w:t>
          </w:r>
          <w:r>
            <w:fldChar w:fldCharType="end"/>
          </w:r>
        </w:sdtContent>
      </w:sdt>
      <w:r>
        <w:t xml:space="preserve">, </w:t>
      </w:r>
      <w:sdt>
        <w:sdtPr>
          <w:id w:val="-834926925"/>
          <w:citation/>
        </w:sdtPr>
        <w:sdtEndPr/>
        <w:sdtContent>
          <w:r>
            <w:fldChar w:fldCharType="begin"/>
          </w:r>
          <w:r>
            <w:instrText xml:space="preserve"> CITATION Haight07 \l 1033 </w:instrText>
          </w:r>
          <w:r>
            <w:fldChar w:fldCharType="separate"/>
          </w:r>
          <w:r>
            <w:rPr>
              <w:noProof/>
            </w:rPr>
            <w:t>[54]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