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response cost by 46% against the closed layer, and raises the share of extinguished incidents from 52% to 91%.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hazard model is assessed separately by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 xml:space="preserve">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