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VODA lowers burned area by 61% against the closed layer, raises the share of extinguished incidents from 52% to 91%, and lowers priced response by 46% and affected population, the initial residents of burned cells, by 80%. The gated search carries most of the gain: a random proposer behind the same gates reaches three quarters of it,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r>
        <w:t>Algebraic gates and a paired forecast test on hazard forecasts are applied to every candidate, and the best survivor is admitted.</w:t>
      </w:r>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VODA separates the hazard model from the decision mechanism. Blind hindcast against satellite fire records assesses spatial agreement, while paired comparisons on </w:t>
      </w:r>
      <w:r w:rsidRPr="006B193B">
        <w:lastRenderedPageBreak/>
        <w:t xml:space="preserve">identical worlds isolate decision benefits, including under planning-model error. </w:t>
      </w:r>
      <w:r>
        <w:t>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VODA combines closed-layer tuning and open-</w:t>
      </w:r>
      <w:r>
        <w:t xml:space="preserve">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VODA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VODA: the margin of VODA over Closed combines the search and the vocabulary, and the margin over the random control isolates the proposer. Full search allows 36 first-future forecasts and up to three additional finalist evaluations; the candidate-only configuration omits variations, and the small random control sets its search budget to six. Single-candidate controls submit one random or LLM candidate to the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six composed tactics written from initial-attack practice over the seven effects, an aerial retardant line ahead of the head, structure protection, a flank line, a rear anchor, an evacuation belt and a burnout behind a cleared line;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None / Closed / VODA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30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IV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VODA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VODA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VODA, so the gate chain over the candidate set carries most of the gain. The random control is a random search over the grammar of (19) with simulation-based selection, 36 candidates per call priced on the same forecasts and admitted by the same gates, so it is a search controller without a language model over the same vocabulary, and its margin over Closed measures what the composed vocabulary and the search add to doctrine written in families. Without variations and at the same budget of six forecasts, the candidate-only LLM configuration exceeds the small random control by 14 ± 11 percentage points, so the proposer is measured without the local search; the variations add a further 16 ± 9 points.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VODA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VODA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w:t>
      </w:r>
      <w:r>
        <w:lastRenderedPageBreak/>
        <w:t xml:space="preserve">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a hand-written doctrine over the same effects gains little while the recorded tactics carried by the closed layer as doctrine carry most of it, so what the closed layer lacks is not access to the effects but the compositions the search finds.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w:t>
      </w:r>
      <w:r>
        <w:t xml:space="preserve">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