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Takagi-Sugeno rule base, and an open layer in which a generative model proposes rules and blended or composed interventions, and a chain of gates on shadow forecasts ranks the candidates and admits at most one object per call. In simulation on 150 paired incidents, GODA lowers burned area by 61% against the closed layer, raises the share of extinguished incidents from 52% to 91%, and lowers priced response by 46% and affected population, the initial residents of burned cells, by 80%. The gated search carries most of the gain: behind the same gates, a search over the closed vocabulary reaches two thirds of it and a random proposer over the composed grammar three quarters, whereas a hand-written doctrine over the same effects gains little. The admitted interventions recur across independent incidents and, recorded as rules, keep most of the gain on unseen ones. The decision core is partitioned over regional agents, decides in under one second between model calls, and its cost grows slowly with the number of regions.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generative rule proposal,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Blind hindcast against satellite fire records assesses spatial agreement, while paired comparisons on identical worlds isolate decision benefits, including under planning-model error. The paired comparisons attribute the gain to the composed vocabulary and the gated search together, and to the proposer, under model error and operating limits.</w:t>
      </w:r>
    </w:p>
    <w:p w14:paraId="27FE739F"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t xml:space="preserve"> full antecedent combinations with five terms per concept while remaining readable for expert review.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w:t>
      </w:r>
      <w:r w:rsidR="00AF4482">
        <w:t xml:space="preserve">, </w:t>
      </w:r>
      <w:r w:rsidR="00AF4482">
        <w:lastRenderedPageBreak/>
        <w:t>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Intervention intensities are translated into executable orders through application-specific execution logic.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t xml:space="preserve"> shows the gate chain of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t xml:space="preserve"> The log distinguishes model candidates from their variations.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p>
    <w:p w14:paraId="0E8F8563" w14:textId="2A12F92B" w:rsidR="00720E67" w:rsidRDefault="006D7408">
      <w:pPr>
        <w:pStyle w:val="Text"/>
      </w:pPr>
      <w:r>
        <w:t xml:space="preserve">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fldChar w:fldCharType="begin"/>
      </w:r>
      <w:r>
        <w:instrText xml:space="preserve"> REF _RefEqN_resolve \h \* CHARFORMAT </w:instrText>
      </w:r>
      <w:r>
        <w:fldChar w:fldCharType="separate"/>
      </w:r>
      <w:r w:rsidR="001C6998">
        <w:t>18</w:t>
      </w:r>
      <w:r>
        <w:fldChar w:fldCharType="end"/>
      </w:r>
      <w:r>
        <w:t>).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Interface / 12</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None issues no orders.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with temperature and top-p left unset, one turn per request and tools disabled.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Quality is 0.60, the cost ceiling 0.35, the required gain over inaction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Regional agents are logical partitions. The CPU harness uses a local structured proposer to isolate computation; its settings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None / 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37 aggregate comparisons, namely the main comparison and every row of the search, robustness and doctrine comparisons, using one million random sign assignments. The adjusted p applies to the main comparison; the other rows are reported with unadjusted intervals. Percentage half-widths divide the paired half-width by the reference mean, which is treated as fixed.</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recorded footprints; the decision results do not rest on it, since both arms of every comparison run on the same core.</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1620" w:type="dxa"/>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72B0FC8A" w14:textId="77777777" w:rsidR="00CB2143" w:rsidRDefault="00CB2143" w:rsidP="00074B69">
            <w:pPr>
              <w:keepNext/>
              <w:spacing w:line="220" w:lineRule="auto"/>
              <w:jc w:val="center"/>
            </w:pPr>
            <w:r>
              <w:rPr>
                <w:b/>
                <w:sz w:val="18"/>
              </w:rPr>
              <w:t>None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1620" w:type="dxa"/>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112A8D0D" w14:textId="77777777" w:rsidR="00CB2143" w:rsidRDefault="00CB2143" w:rsidP="00074B69">
            <w:pPr>
              <w:keepNext/>
              <w:spacing w:line="220" w:lineRule="auto"/>
              <w:jc w:val="center"/>
            </w:pPr>
            <w:r>
              <w:rPr>
                <w:sz w:val="18"/>
              </w:rPr>
              <w:t>250.7 ± 4.3</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1620" w:type="dxa"/>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58A05ED5" w14:textId="77777777" w:rsidR="00CB2143" w:rsidRDefault="00CB2143" w:rsidP="00074B69">
            <w:pPr>
              <w:keepNext/>
              <w:spacing w:line="220" w:lineRule="auto"/>
              <w:jc w:val="center"/>
            </w:pPr>
            <w:r>
              <w:rPr>
                <w:sz w:val="18"/>
              </w:rPr>
              <w:t>5793.4 ± 278.0</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1620" w:type="dxa"/>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33EFB709" w14:textId="77777777" w:rsidR="00CB2143" w:rsidRDefault="00CB2143" w:rsidP="00074B69">
            <w:pPr>
              <w:keepNext/>
              <w:spacing w:line="220" w:lineRule="auto"/>
              <w:jc w:val="center"/>
            </w:pPr>
            <w:r>
              <w:rPr>
                <w:sz w:val="18"/>
              </w:rPr>
              <w:t>0.0</w:t>
            </w:r>
            <w:r>
              <w:rPr>
                <w:sz w:val="18"/>
              </w:rPr>
              <w:br/>
              <w:t>[0.0–2.5]</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1620" w:type="dxa"/>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41064D1" w14:textId="77777777" w:rsidR="00CB2143" w:rsidRDefault="00CB2143" w:rsidP="00074B69">
            <w:pPr>
              <w:keepNext/>
              <w:spacing w:line="220" w:lineRule="auto"/>
              <w:jc w:val="center"/>
            </w:pPr>
            <w:r>
              <w:rPr>
                <w:sz w:val="18"/>
              </w:rPr>
              <w:t>0.653 ± 0.003</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1620" w:type="dxa"/>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6ACCA597" w14:textId="77777777" w:rsidR="00CB2143" w:rsidRDefault="00CB2143" w:rsidP="00074B69">
            <w:pPr>
              <w:keepNext/>
              <w:spacing w:line="220" w:lineRule="auto"/>
              <w:jc w:val="center"/>
            </w:pPr>
            <w:r>
              <w:rPr>
                <w:sz w:val="18"/>
              </w:rPr>
              <w:t>0.935 ± 0.014</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1620" w:type="dxa"/>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B977839" w14:textId="77777777" w:rsidR="00CB2143" w:rsidRDefault="00CB2143" w:rsidP="00074B69">
            <w:pPr>
              <w:keepNext/>
              <w:spacing w:line="220" w:lineRule="auto"/>
              <w:jc w:val="center"/>
            </w:pPr>
            <w:r>
              <w:rPr>
                <w:sz w:val="18"/>
              </w:rPr>
              <w:t>0.207 ± 0.009</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1620" w:type="dxa"/>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32985220"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1620" w:type="dxa"/>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22DBCF6F" w14:textId="77777777" w:rsidR="00CB2143" w:rsidRDefault="00CB2143" w:rsidP="00074B69">
            <w:pPr>
              <w:keepNext/>
              <w:spacing w:line="220" w:lineRule="auto"/>
              <w:jc w:val="center"/>
            </w:pPr>
            <w:r>
              <w:rPr>
                <w:sz w:val="18"/>
              </w:rPr>
              <w:t>0.000 ± 0.000</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1620" w:type="dxa"/>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083B0068" w14:textId="77777777" w:rsidR="00CB2143" w:rsidRDefault="00CB2143" w:rsidP="00074B69">
            <w:pPr>
              <w:keepNext/>
              <w:spacing w:line="220" w:lineRule="auto"/>
              <w:jc w:val="center"/>
            </w:pPr>
            <w:r>
              <w:rPr>
                <w:sz w:val="18"/>
              </w:rPr>
              <w:t>0.598 ± 0.008</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1620" w:type="dxa"/>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703FAF52" w14:textId="77777777" w:rsidR="00CB2143" w:rsidRDefault="00CB2143" w:rsidP="00074B69">
            <w:pPr>
              <w:keepNext/>
              <w:spacing w:line="220" w:lineRule="auto"/>
              <w:jc w:val="center"/>
            </w:pPr>
            <w:r>
              <w:rPr>
                <w:sz w:val="18"/>
              </w:rPr>
              <w:t>0.528 ± 0.007</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Without G5 to G8, the single random and LLM candidates still reduce area by 10 ± 9% and 25 ± 9%, within four points of the gated values and not significantly different from them (paired sign-flip p = 0.47 and 0.76), although the worlds worse than Closed rise from 40 to 49 and from 16 to 28 and the rule bases grow by about four rules. With one candidate per call the forecast gates have little to select from; G1 to G4 and the no-harm guard carry the protection, and the contribution of G5 to G8 lies in the search, where the same forecasts rank the 36 candidates. A repeat stays within four points of the nominal area advantage. With independent gate futures the advantage is 54 ± 12%; of the 360 calls that reach the final test, 354 admit their best candidate, compared with 359 of 364 nominally.</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Known price, stock and delay limits retain 60%, 53% and 50%, respectively. Under the 20 ha stock, mean coated area is 11.2 ha. With price doubled, response cost is 0.277 versus 0.231 nominally and 0.428 for Closed.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 50% speed error leaves 44 ± 12%, with 73% of incidents extinguished.</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unseen worlds,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priced response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Seen as a planner, the gated search is a receding-horizon search over an action grammar; the contribution is the architecture around it, a doctrine that records what the search admits and gates that make the forecast, not the proposer, the criterion of selection,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and faster-than-planned wind.  Admission nevertheless remains conditional on the hazard model. The errors a different spread model would introduce, in the rate and direction of spread and in the effect of suppression and coating, are the quantities the model-error tests perturb, and the gain holds under each of them;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 The forecast-based guard evaluates physical cost over the guard horizon; it does not guarantee improvement on every realized trajectory.</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w:t>
      </w:r>
      <w:r w:rsidR="00DB0B75">
        <w:t>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He manages research and development projects on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