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AFAD81" w14:textId="526F76BA" w:rsidR="00002FAF" w:rsidRDefault="00002FAF" w:rsidP="00002FAF">
      <w:pPr>
        <w:pStyle w:val="Title"/>
        <w:framePr w:w="0" w:hSpace="0" w:vSpace="0" w:wrap="auto" w:vAnchor="margin" w:hAnchor="text" w:xAlign="left" w:yAlign="inline"/>
      </w:pPr>
      <w:r>
        <w:t>Concept-Based Fuzzy Reasoning for Scalable Wildfire Decision Support (DisasterAware)</w:t>
      </w:r>
      <w:r>
        <w:rPr>
          <w:sz w:val="40"/>
          <w:szCs w:val="40"/>
        </w:rPr>
      </w:r>
      <w:r/>
      <w:r>
        <w:rPr>
          <w:sz w:val="40"/>
          <w:szCs w:val="40"/>
        </w:rPr>
      </w:r>
      <w:r>
        <w:rPr>
          <w:i/>
        </w:rPr>
      </w:r>
      <w:r/>
      <w:r w:rsidR="002947C5"/>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192A95C3"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and Mehmet Kemal Leblebicioğlu</w:t>
      </w:r>
      <w:r>
        <w:rPr>
          <w:i/>
          <w:color w:val="000000"/>
          <w:sz w:val="22"/>
          <w:szCs w:val="22"/>
        </w:rPr>
      </w:r>
      <w:r>
        <w:rPr>
          <w:color w:val="000000"/>
          <w:sz w:val="22"/>
          <w:szCs w:val="22"/>
        </w:rPr>
      </w:r>
      <w:r>
        <w:rPr>
          <w:i/>
          <w:color w:val="000000"/>
          <w:sz w:val="22"/>
          <w:szCs w:val="22"/>
        </w:rPr>
      </w:r>
    </w:p>
    <w:p w14:paraId="66416825"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430B388" w14:textId="56A4B9E5" w:rsidR="00732E46" w:rsidRDefault="000F2C11">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r>
        <w:rPr>
          <w:b/>
          <w:color w:val="000000"/>
          <w:sz w:val="18"/>
          <w:szCs w:val="18"/>
        </w:rPr>
        <w:t>—</w:t>
      </w:r>
      <w:r>
        <w:rPr>
          <w:b w:val="0"/>
          <w:sz w:val="18"/>
          <w:szCs w:val="18"/>
        </w:rPr>
        <w:t>[Abstract to be written.]</w:t>
      </w:r>
      <w:r>
        <w:rPr>
          <w:b/>
          <w:color w:val="000000"/>
          <w:sz w:val="18"/>
          <w:szCs w:val="18"/>
        </w:rPr>
      </w:r>
      <w:r>
        <w:rPr>
          <w:b/>
          <w:sz w:val="18"/>
          <w:szCs w:val="18"/>
        </w:rPr>
      </w:r>
      <w:r>
        <w:rPr>
          <w:b/>
          <w:color w:val="000000"/>
          <w:sz w:val="18"/>
          <w:szCs w:val="18"/>
        </w:rPr>
      </w:r>
      <w:r>
        <w:rPr>
          <w:b/>
          <w:sz w:val="18"/>
          <w:szCs w:val="18"/>
        </w:rPr>
      </w:r>
      <w:r>
        <w:rPr>
          <w:b/>
          <w:color w:val="000000"/>
          <w:sz w:val="18"/>
          <w:szCs w:val="18"/>
        </w:rPr>
      </w:r>
      <w:r>
        <w:rPr>
          <w:b/>
          <w:i/>
          <w:color w:val="000000"/>
          <w:sz w:val="18"/>
          <w:szCs w:val="18"/>
        </w:rPr>
      </w:r>
      <w:r>
        <w:rPr>
          <w:b/>
          <w:color w:val="000000"/>
          <w:sz w:val="18"/>
          <w:szCs w:val="18"/>
        </w:rPr>
      </w:r>
      <w:r>
        <w:rPr>
          <w:b/>
          <w:i/>
          <w:color w:val="000000"/>
          <w:sz w:val="18"/>
          <w:szCs w:val="18"/>
        </w:rPr>
      </w:r>
      <w:r>
        <w:rPr>
          <w:b/>
          <w:color w:val="000000"/>
          <w:sz w:val="18"/>
          <w:szCs w:val="18"/>
        </w:rPr>
      </w:r>
      <w:r w:rsidR="00DC758F">
        <w:rPr>
          <w:b/>
          <w:color w:val="000000"/>
          <w:sz w:val="18"/>
          <w:szCs w:val="18"/>
        </w:rPr>
      </w:r>
      <w:r>
        <w:rPr>
          <w:b/>
          <w:color w:val="000000"/>
          <w:sz w:val="18"/>
          <w:szCs w:val="18"/>
        </w:rPr>
      </w:r>
      <w:r w:rsidR="00DC758F">
        <w:rPr>
          <w:b/>
          <w:color w:val="000000"/>
          <w:sz w:val="18"/>
          <w:szCs w:val="18"/>
        </w:rPr>
      </w:r>
      <w:r>
        <w:rPr>
          <w:b/>
          <w:color w:val="000000"/>
          <w:sz w:val="18"/>
          <w:szCs w:val="18"/>
        </w:rPr>
      </w:r>
      <w:r>
        <w:rPr>
          <w:b/>
          <w:sz w:val="18"/>
          <w:szCs w:val="18"/>
        </w:rPr>
      </w:r>
      <w:r>
        <w:rPr>
          <w:b/>
          <w:i/>
          <w:sz w:val="18"/>
          <w:szCs w:val="18"/>
        </w:rPr>
      </w:r>
      <w:r>
        <w:rPr>
          <w:b/>
          <w:sz w:val="18"/>
          <w:szCs w:val="18"/>
        </w:rPr>
      </w:r>
      <w:proofErr w:type="spellStart"/>
      <w:r>
        <w:rPr>
          <w:b/>
          <w:sz w:val="18"/>
          <w:szCs w:val="18"/>
        </w:rPr>
      </w:r>
      <w:proofErr w:type="spellEnd"/>
      <w:r>
        <w:rPr>
          <w:b/>
          <w:sz w:val="18"/>
          <w:szCs w:val="18"/>
        </w:rPr>
      </w:r>
      <w:r>
        <w:rPr>
          <w:b/>
          <w:color w:val="000000"/>
          <w:sz w:val="18"/>
          <w:szCs w:val="18"/>
        </w:rPr>
      </w:r>
    </w:p>
    <w:p w14:paraId="1B643D01" w14:textId="77777777" w:rsidR="00732E46" w:rsidRDefault="00732E46"/>
    <w:p w14:paraId="4B5FE2A0" w14:textId="35FC6568" w:rsidR="005C18AE" w:rsidRPr="00D050EC" w:rsidRDefault="000F2C11" w:rsidP="00D050EC">
      <w:pPr>
        <w:jc w:val="both"/>
        <w:rPr>
          <w:b/>
          <w:sz w:val="18"/>
          <w:szCs w:val="18"/>
        </w:rPr>
      </w:pPr>
      <w:bookmarkStart w:id="1" w:name="bookmark=id.30j0zll" w:colFirst="0" w:colLast="0"/>
      <w:bookmarkEnd w:id="1"/>
      <w:r>
        <w:rPr>
          <w:b/>
          <w:i/>
          <w:sz w:val="18"/>
          <w:szCs w:val="18"/>
        </w:rPr>
        <w:t>Index Terms</w:t>
      </w:r>
      <w:r>
        <w:rPr>
          <w:b/>
          <w:sz w:val="18"/>
          <w:szCs w:val="18"/>
        </w:rPr>
        <w:t>—</w:t>
      </w:r>
      <w:r w:rsidRPr="000D4F4C">
        <w:rPr>
          <w:b w:val="0"/>
          <w:sz w:val="18"/>
          <w:szCs w:val="18"/>
        </w:rPr>
        <w:t>[Keywords to be added.]</w:t>
      </w:r>
      <w:r w:rsidR="002947C5" w:rsidRPr="00D050EC">
        <w:rPr>
          <w:b/>
          <w:sz w:val="18"/>
          <w:szCs w:val="18"/>
          <w:shd w:val="clear" w:color="auto" w:fill="FFFFFF"/>
        </w:rPr>
      </w:r>
      <w:r w:rsidR="002947C5" w:rsidRPr="00D050EC">
        <w:rPr>
          <w:rStyle w:val="Emphasis"/>
          <w:b/>
          <w:color w:val="000000"/>
          <w:sz w:val="18"/>
          <w:szCs w:val="18"/>
          <w:shd w:val="clear" w:color="auto" w:fill="FFFFFF"/>
        </w:rPr>
      </w:r>
      <w:r w:rsidR="002947C5" w:rsidRPr="00D050EC">
        <w:rPr>
          <w:b/>
          <w:sz w:val="18"/>
          <w:szCs w:val="18"/>
          <w:shd w:val="clear" w:color="auto" w:fill="FFFFFF"/>
        </w:rPr>
      </w:r>
      <w:r w:rsidR="00BE4774">
        <w:rPr>
          <w:b/>
          <w:sz w:val="18"/>
          <w:szCs w:val="18"/>
          <w:shd w:val="clear" w:color="auto" w:fill="FFFFFF"/>
        </w:rPr>
      </w:r>
      <w:r w:rsidR="00BE4774" w:rsidRPr="00D050EC">
        <w:rPr>
          <w:b/>
          <w:sz w:val="18"/>
          <w:szCs w:val="18"/>
        </w:rPr>
      </w:r>
      <w:r w:rsidR="002947C5" w:rsidRPr="00D050EC">
        <w:rPr>
          <w:b/>
          <w:sz w:val="18"/>
          <w:szCs w:val="18"/>
          <w:shd w:val="clear" w:color="auto" w:fill="FFFFFF"/>
        </w:rPr>
      </w:r>
      <w:r w:rsidR="002947C5" w:rsidRPr="00D050EC">
        <w:rPr>
          <w:rStyle w:val="Emphasis"/>
          <w:b/>
          <w:color w:val="000000"/>
          <w:sz w:val="18"/>
          <w:szCs w:val="18"/>
          <w:shd w:val="clear" w:color="auto" w:fill="FFFFFF"/>
        </w:rPr>
      </w:r>
      <w:r w:rsidR="00D10AC8">
        <w:rPr>
          <w:rStyle w:val="Emphasis"/>
          <w:b/>
          <w:color w:val="000000"/>
          <w:sz w:val="18"/>
          <w:szCs w:val="18"/>
          <w:shd w:val="clear" w:color="auto" w:fill="FFFFFF"/>
        </w:rPr>
      </w:r>
      <w:r w:rsidR="00D10AC8">
        <w:rPr>
          <w:rFonts w:ascii="Georgia" w:hAnsi="Georgia"/>
          <w:color w:val="222222"/>
          <w:shd w:val="clear" w:color="auto" w:fill="FFFFFF"/>
        </w:rPr>
      </w:r>
      <w:r w:rsidR="002947C5" w:rsidRPr="00D10AC8">
        <w:rPr>
          <w:color w:val="1155CC"/>
          <w:spacing w:val="-2"/>
          <w:u w:val="single"/>
        </w:rPr>
      </w:r>
      <w:r w:rsidR="002947C5" w:rsidRPr="00D050EC">
        <w:rPr>
          <w:b/>
          <w:sz w:val="18"/>
          <w:szCs w:val="18"/>
          <w:shd w:val="clear" w:color="auto" w:fill="FFFFFF"/>
        </w:rPr>
      </w:r>
    </w:p>
    <w:p w14:paraId="5D351EFE" w14:textId="7DC59E19" w:rsidR="00732E46" w:rsidRDefault="00732E46" w:rsidP="004063A4">
      <w:pPr>
        <w:pBdr>
          <w:top w:val="nil"/>
          <w:left w:val="nil"/>
          <w:bottom w:val="nil"/>
          <w:right w:val="nil"/>
          <w:between w:val="nil"/>
        </w:pBdr>
        <w:ind w:firstLine="202"/>
        <w:jc w:val="both"/>
      </w:pPr>
    </w:p>
    <w:p>
      <w:pPr>
        <w:pStyle w:val="Heading1"/>
      </w:pPr>
      <w:r>
        <w:t>I. Introduction</w:t>
      </w:r>
    </w:p>
    <w:p>
      <w:pPr/>
    </w:p>
    <w:p>
      <w:pPr>
        <w:pStyle w:val="Heading1"/>
      </w:pPr>
      <w:r>
        <w:t>II. Related Work</w:t>
      </w:r>
    </w:p>
    <w:p>
      <w:pPr>
        <w:pStyle w:val="Heading2"/>
      </w:pPr>
      <w:r>
        <w:t>A. Wildfire Decision Support Systems</w:t>
      </w:r>
    </w:p>
    <w:p>
      <w:pPr/>
    </w:p>
    <w:p>
      <w:pPr>
        <w:pStyle w:val="Heading2"/>
      </w:pPr>
      <w:r>
        <w:t>B. Fuzzy Reasoning under Uncertainty</w:t>
      </w:r>
    </w:p>
    <w:p>
      <w:pPr/>
    </w:p>
    <w:p>
      <w:pPr>
        <w:pStyle w:val="Heading2"/>
      </w:pPr>
      <w:r>
        <w:t>C. Distributed and Explainable DSS</w:t>
      </w:r>
    </w:p>
    <w:p>
      <w:pPr/>
    </w:p>
    <w:p>
      <w:pPr>
        <w:pStyle w:val="Heading1"/>
      </w:pPr>
      <w:r>
        <w:t>III. Problem Formulation</w:t>
      </w:r>
    </w:p>
    <w:p>
      <w:pPr>
        <w:pStyle w:val="Heading2"/>
      </w:pPr>
      <w:r>
        <w:t>A. Closed-Loop Wildfire Decision Problem</w:t>
      </w:r>
    </w:p>
    <w:p>
      <w:pPr/>
    </w:p>
    <w:p>
      <w:pPr>
        <w:pStyle w:val="Heading2"/>
      </w:pPr>
      <w:r>
        <w:t>B. Partial Observability and Regional Decomposition</w:t>
      </w:r>
    </w:p>
    <w:p>
      <w:pPr/>
    </w:p>
    <w:p>
      <w:pPr>
        <w:pStyle w:val="Heading1"/>
      </w:pPr>
      <w:r>
        <w:t>IV. DisasterAware Framework Overview</w:t>
      </w:r>
    </w:p>
    <w:p>
      <w:pPr>
        <w:pStyle w:val="Heading2"/>
      </w:pPr>
      <w:r>
        <w:t>A. Layered Architecture</w:t>
      </w:r>
    </w:p>
    <w:p>
      <w:pPr/>
    </w:p>
    <w:p>
      <w:pPr>
        <w:pStyle w:val="Heading2"/>
      </w:pPr>
      <w:r>
        <w:t>B. Simulation Environment</w:t>
      </w:r>
    </w:p>
    <w:p>
      <w:pPr/>
    </w:p>
    <w:p>
      <w:pPr>
        <w:pStyle w:val="Heading1"/>
      </w:pPr>
      <w:r>
        <w:t>V. Concept-Based Fuzzy Reasoning</w:t>
      </w:r>
    </w:p>
    <w:p>
      <w:pPr>
        <w:pStyle w:val="Heading2"/>
      </w:pPr>
      <w:r>
        <w:t>A. Feature Extraction and Fuzzification</w:t>
      </w:r>
    </w:p>
    <w:p>
      <w:pPr/>
    </w:p>
    <w:p>
      <w:pPr>
        <w:pStyle w:val="Heading2"/>
      </w:pPr>
      <w:r>
        <w:t>B. Situational Concept Formation</w:t>
      </w:r>
    </w:p>
    <w:p>
      <w:pPr/>
    </w:p>
    <w:p>
      <w:pPr>
        <w:pStyle w:val="Heading2"/>
      </w:pPr>
      <w:r>
        <w:t>C. Concept-Mediated Rule Base</w:t>
      </w:r>
    </w:p>
    <w:p>
      <w:pPr/>
    </w:p>
    <w:p>
      <w:pPr>
        <w:pStyle w:val="Heading2"/>
      </w:pPr>
      <w:r>
        <w:t>D. Rule-Complexity Reduction</w:t>
      </w:r>
    </w:p>
    <w:p>
      <w:pPr/>
    </w:p>
    <w:p>
      <w:pPr>
        <w:pStyle w:val="Heading1"/>
      </w:pPr>
      <w:r>
        <w:t>VI. Distributed Inference and Global Coordination</w:t>
      </w:r>
    </w:p>
    <w:p>
      <w:pPr>
        <w:pStyle w:val="Heading2"/>
      </w:pPr>
      <w:r>
        <w:t>A. Local DSS Agents</w:t>
      </w:r>
    </w:p>
    <w:p>
      <w:pPr/>
    </w:p>
    <w:p>
      <w:pPr>
        <w:pStyle w:val="Heading2"/>
      </w:pPr>
      <w:r>
        <w:t>B. Non-Inferential Global Coordination</w:t>
      </w:r>
    </w:p>
    <w:p>
      <w:pPr/>
    </w:p>
    <w:p>
      <w:pPr>
        <w:pStyle w:val="Heading2"/>
      </w:pPr>
      <w:r>
        <w:t>C. Formal Guarantees</w:t>
      </w:r>
    </w:p>
    <w:p>
      <w:pPr/>
    </w:p>
    <w:p>
      <w:pPr>
        <w:pStyle w:val="Heading1"/>
      </w:pPr>
      <w:r>
        <w:t>VII. Uncertainty-Aware Modulation and Explainability</w:t>
      </w:r>
    </w:p>
    <w:p>
      <w:pPr>
        <w:pStyle w:val="Heading2"/>
      </w:pPr>
      <w:r>
        <w:t>A. Confidence-Gated Concept Modulation</w:t>
      </w:r>
    </w:p>
    <w:p>
      <w:pPr/>
    </w:p>
    <w:p>
      <w:pPr>
        <w:pStyle w:val="Heading2"/>
      </w:pPr>
      <w:r>
        <w:t>B. Explainability and AI Governance Layer</w:t>
      </w:r>
    </w:p>
    <w:p>
      <w:pPr/>
    </w:p>
    <w:p>
      <w:pPr>
        <w:pStyle w:val="Heading1"/>
      </w:pPr>
      <w:r>
        <w:t>VIII. Experimental Evaluation</w:t>
      </w:r>
    </w:p>
    <w:p>
      <w:pPr>
        <w:pStyle w:val="Heading2"/>
      </w:pPr>
      <w:r>
        <w:t>A. Simulation Setup and Baseline</w:t>
      </w:r>
    </w:p>
    <w:p>
      <w:pPr/>
    </w:p>
    <w:p>
      <w:pPr>
        <w:pStyle w:val="Heading2"/>
      </w:pPr>
      <w:r>
        <w:t>B. Scenarios and Metrics</w:t>
      </w:r>
    </w:p>
    <w:p>
      <w:pPr/>
    </w:p>
    <w:p>
      <w:pPr>
        <w:pStyle w:val="Heading2"/>
      </w:pPr>
      <w:r>
        <w:t>C. Results and Sensitivity Analysis</w:t>
      </w:r>
    </w:p>
    <w:p>
      <w:pPr/>
    </w:p>
    <w:p>
      <w:pPr>
        <w:pStyle w:val="Heading1"/>
      </w:pPr>
      <w:r>
        <w:t>IX. Conclusion</w:t>
      </w:r>
    </w:p>
    <w:p>
      <w:pPr/>
    </w:p>
    <w:p>
      <w:pPr>
        <w:pStyle w:val="Heading1"/>
      </w:pPr>
      <w:r>
        <w:t>Acknowledgment</w:t>
      </w:r>
    </w:p>
    <w:p>
      <w:pPr/>
    </w:p>
    <w:p>
      <w:pPr>
        <w:pStyle w:val="Heading1"/>
      </w:pPr>
      <w:r>
        <w:t>References</w:t>
      </w:r>
    </w:p>
    <w:p>
      <w:pPr/>
    </w:p>
    <w:p>
      <w:pPr/>
    </w:p>
    <w:p>
      <w:pPr/>
      <w:r>
        <w:br w:type="column"/>
      </w:r>
      <w:r>
        <w:drawing>
          <wp:anchor distT="0" distB="0" distL="114300" distR="114300" simplePos="0" relativeHeight="251658240" behindDoc="0" locked="0" layoutInCell="1" allowOverlap="1">
            <wp:simplePos x="0" y="0"/>
            <wp:positionH relativeFrom="column">
              <wp:align>left</wp:align>
            </wp:positionH>
            <wp:positionV relativeFrom="paragraph">
              <wp:posOffset>0</wp:posOffset>
            </wp:positionV>
            <wp:extent cx="731520" cy="915840"/>
            <wp:wrapSquare wrapText="bothSides"/>
            <wp:docPr id="1" name="Picture 1"/>
            <wp:cNvGraphicFramePr/>
            <a:graphic xmlns:a="http://schemas.openxmlformats.org/drawingml/2006/main" xmlns:pic="http://schemas.openxmlformats.org/drawingml/2006/picture">
              <a:graphicData uri="http://schemas.openxmlformats.org/drawingml/2006/picture">
                <pic:pic>
                  <pic:nvPicPr>
                    <pic:cNvPr id="0" name="caglar_bio.png"/>
                    <pic:cNvPicPr/>
                  </pic:nvPicPr>
                  <pic:blipFill>
                    <a:blip r:embed="rId33"/>
                    <a:stretch>
                      <a:fillRect/>
                    </a:stretch>
                  </pic:blipFill>
                  <pic:spPr>
                    <a:xfrm>
                      <a:off x="0" y="0"/>
                      <a:ext cx="731520" cy="915840"/>
                    </a:xfrm>
                    <a:prstGeom prst="rect"/>
                  </pic:spPr>
                </pic:pic>
              </a:graphicData>
            </a:graphic>
          </wp:anchor>
        </w:drawing>
      </w:r>
      <w:r>
        <w:rPr>
          <w:b/>
        </w:rPr>
        <w:t xml:space="preserve">Çağlar Akman </w:t>
      </w:r>
      <w:r>
        <w:t>received the B.S. and M.S. degrees in electrical and electronics engineering from the Middle East Technical University (METU), Ankara, Türkiye, in 2008 and 2017, respectively, where he is currently pursuing the Ph.D. degree. He is currently the Modeling and Sensor Technologies Team Leader at HAVELSAN, Ankara, Türkiye, where he manages national and international research and development projects. His research interests include artificial intelligence, decision support systems, sensor systems, and robotic systems.</w:t>
      </w:r>
    </w:p>
    <w:p>
      <w:pPr/>
      <w:r>
        <w:br w:type="column"/>
      </w:r>
      <w:r>
        <w:drawing>
          <wp:anchor distT="0" distB="0" distL="114300" distR="114300" simplePos="0" relativeHeight="251658240" behindDoc="0" locked="0" layoutInCell="1" allowOverlap="1">
            <wp:simplePos x="0" y="0"/>
            <wp:positionH relativeFrom="column">
              <wp:align>left</wp:align>
            </wp:positionH>
            <wp:positionV relativeFrom="paragraph">
              <wp:posOffset>0</wp:posOffset>
            </wp:positionV>
            <wp:extent cx="731520" cy="924025"/>
            <wp:wrapSquare wrapText="bothSides"/>
            <wp:docPr id="2" name="Picture 2"/>
            <wp:cNvGraphicFramePr/>
            <a:graphic xmlns:a="http://schemas.openxmlformats.org/drawingml/2006/main" xmlns:pic="http://schemas.openxmlformats.org/drawingml/2006/picture">
              <a:graphicData uri="http://schemas.openxmlformats.org/drawingml/2006/picture">
                <pic:pic>
                  <pic:nvPicPr>
                    <pic:cNvPr id="0" name="img-002.png"/>
                    <pic:cNvPicPr/>
                  </pic:nvPicPr>
                  <pic:blipFill>
                    <a:blip r:embed="rId34"/>
                    <a:stretch>
                      <a:fillRect/>
                    </a:stretch>
                  </pic:blipFill>
                  <pic:spPr>
                    <a:xfrm>
                      <a:off x="0" y="0"/>
                      <a:ext cx="731520" cy="924025"/>
                    </a:xfrm>
                    <a:prstGeom prst="rect"/>
                  </pic:spPr>
                </pic:pic>
              </a:graphicData>
            </a:graphic>
          </wp:anchor>
        </w:drawing>
      </w:r>
      <w:r>
        <w:rPr>
          <w:b/>
        </w:rPr>
        <w:t xml:space="preserve">Kemal Leblebicioğlu </w:t>
      </w:r>
      <w:r>
        <w:t>received his Ph.D. from the Department of Mathematics of the Middle East Technical University (METU), in 1988.</w:t>
      </w:r>
    </w:p>
    <w:p>
      <w:pPr/>
      <w:r>
        <w:t>He has been a full professor in the Department of Electrical and Electronics Engineering of METU since 1999. He has a background in optimization, optimal control theory, computer vision, intelligent systems, flight control, walking robots, and unmanned vehicles.</w:t>
      </w:r>
    </w:p>
    <w:p>
      <w:pPr/>
      <w:r>
        <w:t>Dr. Leblebicioğlu has been a member of numerous international program committees and has been (co-) author of more than 40 journal papers, book chapters, and numerous conference papers. He is on several IFAC technical committees. He was the editor of the journal ELEKTRIK published by TÜBİTAK (Turkish Scientific and Technical Research Council) from 1996 to 2009. He is on the editorial board of several Turkish technical journals. He organized an international workshop on computer vision and intelligent systems and two national conferences on control. He conducted several R&amp;D projects as project leader and researcher and gave consultancy to BİLTEN (TÜBİTAK’s Research Center on Electronics and Information Technologies), 3rd Supply and Maintenance Center of Turkish Air Forces (Ankara), TÜBİTAK-İltaren, and to ASELSAN on the topic of “real time automatic visual tracking of targets.” Now he is studying unmanned vehicles, in particular, unmanned air and underwater vehicles. He completed a project (supported by TÜBİTAK) on the construction of a special unmanned under-sea vehicle, called ULISAR, which is a mixture of an ROV and a fully automated system. His current project, also supported by TÜBİTAK, is on the coordinated guidance of multiple unmanned air vehicles. Presently, he is also working as an advisor for the Bahçeşehir University Foundation, BUEV, about matters related to education, developing educational systems to help students and teachers, intelligent testing, and student evaluation systems.</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w:t>
      </w:r>
      <w:r>
        <w:rPr>
          <w:sz w:val="16"/>
          <w:szCs w:val="16"/>
        </w:rPr>
        <w:t xml:space="preserve"/>
      </w:r>
      <w:r>
        <w:rPr>
          <w:color w:val="000000"/>
          <w:sz w:val="16"/>
          <w:szCs w:val="16"/>
        </w:rPr>
        <w:t xml:space="preserve"/>
      </w:r>
      <w:r>
        <w:rPr>
          <w:sz w:val="16"/>
          <w:szCs w:val="16"/>
        </w:rPr>
        <w:t/>
      </w:r>
      <w:r>
        <w:rPr>
          <w:color w:val="000000"/>
          <w:sz w:val="16"/>
          <w:szCs w:val="16"/>
        </w:rPr>
        <w:t xml:space="preserve"/>
      </w:r>
      <w:r>
        <w:rPr>
          <w:sz w:val="16"/>
          <w:szCs w:val="16"/>
        </w:rPr>
        <w:t xml:space="preserve"/>
      </w:r>
      <w:r>
        <w:rPr>
          <w:color w:val="000000"/>
          <w:sz w:val="16"/>
          <w:szCs w:val="16"/>
        </w:rPr>
        <w:t/>
      </w:r>
      <w:r>
        <w:rPr>
          <w:sz w:val="16"/>
          <w:szCs w:val="16"/>
        </w:rPr>
        <w:t/>
      </w:r>
      <w:r>
        <w:rPr>
          <w:i/>
          <w:sz w:val="16"/>
          <w:szCs w:val="16"/>
        </w:rPr>
        <w:t xml:space="preserve"/>
      </w:r>
      <w:r w:rsidRPr="00E01B5B">
        <w:rPr>
          <w:i/>
          <w:sz w:val="16"/>
          <w:szCs w:val="16"/>
        </w:rPr>
        <w:t/>
      </w:r>
      <w:r>
        <w:rPr>
          <w:i/>
          <w:sz w:val="16"/>
          <w:szCs w:val="16"/>
        </w:rPr>
        <w:t xml:space="preserve"/>
      </w:r>
      <w:r>
        <w:rPr>
          <w:sz w:val="16"/>
          <w:szCs w:val="16"/>
        </w:rPr>
        <w:t xml:space="preserve"/>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Çağlar Akman and Mehmet Kemal Leblebicioğlu are with the Department of Electrical and Electronics Engineering, Middle East Technical University, 06800 Ankara, Türkiye.</w:t>
      </w:r>
      <w:r>
        <w:rPr>
          <w:sz w:val="16"/>
          <w:szCs w:val="16"/>
        </w:rPr>
        <w:t/>
      </w:r>
      <w:r>
        <w:rPr>
          <w:color w:val="000000"/>
          <w:sz w:val="16"/>
          <w:szCs w:val="16"/>
        </w:rPr>
        <w:t xml:space="preserve"/>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image6.png"/><Relationship Id="rId3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2024-06-12T13:11:00Z</dcterms:created>
  <dcterms:modified xsi:type="dcterms:W3CDTF">2024-06-12T13:11:00Z</dcterms:modified>
</cp:coreProperties>
</file>