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t>
      </w:r>
      <w:proofErr w:type="gramStart"/>
      <w:r>
        <w:rPr>
          <w:kern w:val="28"/>
          <w:sz w:val="48"/>
          <w:szCs w:val="48"/>
        </w:rPr>
        <w:t>With</w:t>
      </w:r>
      <w:proofErr w:type="gramEnd"/>
      <w:r>
        <w:rPr>
          <w:kern w:val="28"/>
          <w:sz w:val="48"/>
          <w:szCs w:val="48"/>
        </w:rPr>
        <w:t xml:space="preserve"> a Verified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admits at most one object per call. In simulation on 150 paired incidents, VODA lowers burned area by 61% against the closed layer, raises the share of extinguished incidents from 52% to 91%, and lowers priced response by 46% and affected population, the initial residents of burned cells, by 80%. The gated search carries most of the gain: a random proposer behind the same gates reaches three quarters of it,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w:t>
      </w:r>
      <w:r>
        <w:t xml:space="preserve">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VODA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VODA answers the first limit with a verified open decision space.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w:t>
      </w:r>
      <w:r>
        <w:t>Algebraic gates and a paired forecast test on hazard forecasts are applied to every candidate, and the best survivor is admitted.</w:t>
      </w:r>
      <w:r>
        <w:t xml:space="preserve">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VODA separates the hazard model from the decision mechanism. Blind hindcast against satellite fire records assesses spatial agreement, while paired comparisons on </w:t>
      </w:r>
      <w:r w:rsidRPr="006B193B">
        <w:lastRenderedPageBreak/>
        <w:t xml:space="preserve">identical worlds isolate decision benefits, including under planning-model error. </w:t>
      </w:r>
      <w:r>
        <w:t>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w:t>
      </w:r>
      <w:proofErr w:type="spellStart"/>
      <w:r>
        <w:t>FlamMap</w:t>
      </w:r>
      <w:proofErr w:type="spellEnd"/>
      <w:r>
        <w:t xml:space="preserve">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VODA uses constant consequents in the Takagi-</w:t>
      </w:r>
      <w:proofErr w:type="spellStart"/>
      <w:r>
        <w:t>Sugeno</w:t>
      </w:r>
      <w:proofErr w:type="spellEnd"/>
      <w:r>
        <w:t xml:space="preserve">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VODA combines closed-layer tuning and open-</w:t>
      </w:r>
      <w:r>
        <w:t xml:space="preserve">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w:t>
      </w:r>
      <w:proofErr w:type="spellStart"/>
      <w:r>
        <w:t>FunSearch</w:t>
      </w:r>
      <w:proofErr w:type="spellEnd"/>
      <w:r>
        <w:t xml:space="preserve">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w:t>
      </w:r>
      <w:proofErr w:type="spellStart"/>
      <w:r>
        <w:t>SayCan</w:t>
      </w:r>
      <w:proofErr w:type="spellEnd"/>
      <w:r>
        <w:t xml:space="preserve">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In this study, the core snapshot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also supplies the proposer brief and shadow forecasts, whereas closed-layer inference reads observations only.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w:t>
      </w:r>
      <w:r>
        <w:t xml:space="preserve">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7A411237" w14:textId="77777777">
        <w:trPr>
          <w:cantSplit/>
          <w:jc w:val="center"/>
        </w:trPr>
        <w:tc>
          <w:tcPr>
            <w:tcW w:w="4500" w:type="pct"/>
            <w:vAlign w:val="center"/>
          </w:tcPr>
          <w:p w14:paraId="5952F80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5F026748"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2D64B8C0" w14:textId="77777777" w:rsidR="00096354" w:rsidRDefault="00096354">
      <w:pPr>
        <w:pStyle w:val="Text"/>
        <w:rPr>
          <w:sz w:val="12"/>
          <w:szCs w:val="12"/>
        </w:rPr>
      </w:pPr>
    </w:p>
    <w:p w14:paraId="0C105F77" w14:textId="77777777"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F65A855" w14:textId="77777777">
        <w:trPr>
          <w:cantSplit/>
          <w:jc w:val="center"/>
        </w:trPr>
        <w:tc>
          <w:tcPr>
            <w:tcW w:w="4500" w:type="pct"/>
            <w:vAlign w:val="center"/>
          </w:tcPr>
          <w:p w14:paraId="6B2B172B"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6F24BCA3"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t>
      </w:r>
      <w:r>
        <w:t xml:space="preserve">which increases with wind speed in m/s.</w:t>
      </w:r>
      <w:r>
        <w:t xml:space="preserve">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and only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(16).</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verified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w:t>
      </w:r>
      <w:r>
        <w:t>The open layer then generates candidates and passes every one of them through the gate chain on shadow forecasts; the best survivor is admitted.</w:t>
      </w:r>
      <w:r>
        <w:t xml:space="preserve"> The </w:t>
      </w:r>
      <w:r>
        <w:lastRenderedPageBreak/>
        <w:t>LLM serves as a context-conditioned proposal mechanism, using the incident description to compose structured intervention candidates from executable physical effects for subsequent simulation-based evaluation.</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w:t>
      </w:r>
      <w:r>
        <w:t xml:space="preserve"> objects that do not parse into the vocabulary; G2 rejects unknown effects or sectors and duplicates; G3 requires the rule to fire on the current reading; G4 enforces the free pool. Coating and ignition use no crew but are priced in capacity-steps against the funded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w:t>
      </w:r>
      <w:r>
        <w:t xml:space="preserve">G5 and G6, the same test on each of two independently seeded futures, require a strict gain.</w:t>
      </w:r>
      <w:r>
        <w:t xml:space="preserve">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21</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the selected component. For a composed intervention, it changes a clause's </w:t>
      </w:r>
      <w:r>
        <w:lastRenderedPageBreak/>
        <w:t xml:space="preserve">effect, sector, band, or amount with probability 0.5, perturbs a consequent intensity by </w:t>
      </w:r>
      <w:proofErr w:type="gramStart"/>
      <w:r>
        <w:t>N(</w:t>
      </w:r>
      <w:proofErr w:type="gramEnd"/>
      <w:r>
        <w:t>0, 0.15) with probability 0.25, and otherwise redraws the antecedents. For rules and macros, the probabilities are 0.75 for an intensity change and 0.25 for redrawn antecedents.</w:t>
      </w:r>
    </w:p>
    <w:p w14:paraId="0E8F8563" w14:textId="2A12F92B"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objects uniformly from the grammar of (19) and spends its budget on fresh samples rather than variations.</w:t>
      </w:r>
      <w:r>
        <w:t xml:space="preserve"> For both proposers, at most one candidate per call is admitted, and most rejections occur at G1 to G4 and at the first forecast.</w:t>
      </w:r>
    </w:p>
    <w:p w14:paraId="32FCECCD" w14:textId="77777777" w:rsidR="00F30F81" w:rsidRDefault="00D31F60">
      <w:pPr>
        <w:pStyle w:val="Text"/>
      </w:pPr>
      <w:r>
        <w:t>The gate chain enforces the structural, resource and forecast-based acceptance conditions before a proposed object enters the rule base, independently of the proposer.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 xml:space="preserve">) averages only named families. Evacuation and warning also carry displacement cost, so retaining them does not guarantee a lower physical cost. Second, </w:t>
      </w:r>
      <w:proofErr w:type="gramStart"/>
      <w:r>
        <w:t>every</w:t>
      </w:r>
      <w:proofErr w:type="gramEnd"/>
      <w:r>
        <w:t xml:space="preserve">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Agents fire sequentially within one process.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w:t>
      </w:r>
      <w:r w:rsidR="001C6998">
        <w:rPr>
          <w:noProof/>
        </w:rPr>
        <w:t>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1C6998">
        <w:t xml:space="preserve">Table </w:t>
      </w:r>
      <w:r w:rsidR="001C6998">
        <w:rPr>
          <w:noProof/>
        </w:rPr>
        <w:t>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forecasts and the proposer brief use the core snapshot, while inference and order targeting read the degraded observations. S5 models degraded observation through feature perturbations and reduced confidence, representing the effects of incomplete or delayed information on decision inference and targeting.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VODA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The model-error and independent-gate reruns set the effort level to high. Code, configurations and run logs are available from the corresponding author on request. A request asks for six candidates. The closed layer spends two shadow forecasts per cycle on the acceptance test and none on search, so the forecast budget of the open layer is matched only by the random control. Full search allows 36 first-future forecasts and up to three additional finalist evaluations; the candidate-only configuration omits variations, and the small random control sets its search budget to six. Single-candidate controls submit one random or LLM candidate to the gates. The repeat uses the same worlds; the independent-future test selects the best candidate on seeds 101 and 202 and completes G5 to G8 on seeds 303 and 404, so the final test does not reuse the futures of the selection.</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w:t>
      </w:r>
      <w:proofErr w:type="gramStart"/>
      <w:r>
        <w:t>rate</w:t>
      </w:r>
      <w:proofErr w:type="gramEnd"/>
      <w:r>
        <w:t>,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w:t>
      </w:r>
      <w:r>
        <w:t xml:space="preserve">The 40-rule control comprises the five seeds and 35 additional rules over the same families. A second hand-written control adds to the five seeds six composed tactics written from initial-attack practice over the seven effects, an aerial retardant line ahead of the head, structure protection, a flank line, a rear anchor, an evacuation belt and a burnout behind a cleared line, installed at minute 0.</w:t>
      </w:r>
      <w:r>
        <w:t xml:space="preserve"> Doctrine tests compare recorded tactics, family withholding, continued generation and object-removal replay.</w:t>
      </w:r>
    </w:p>
    <w:p w14:paraId="79CA6991"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IV;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None / Closed / VODA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30 aggregate comparisons, namely the main comparison and every row of the search, robustness and doctrine comparisons, using one million random sign assignments. The adjusted p applies to the main comparison only; the remaining rows are reported with unadjusted intervals and are exploratory.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w:t>
      </w:r>
      <w:r>
        <w:t xml:space="preserve">The test evaluates spatial agreement conditioned on the observed extent and does not validate timing; the area ratio in </w:t>
      </w:r>
      <w:r>
        <w:fldChar w:fldCharType="begin"/>
      </w:r>
      <w:r>
        <w:instrText>REF _RefTab_agree \h</w:instrText>
      </w:r>
      <w:r>
        <w:fldChar w:fldCharType="separate"/>
      </w:r>
      <w:r w:rsidR="001C6998">
        <w:t xml:space="preserve">Table IV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w:t>
      </w:r>
      <w:r w:rsidR="001C6998">
        <w:rPr>
          <w:noProof/>
          <w:sz w:val="18"/>
        </w:rPr>
        <w:t>5</w:t>
      </w:r>
      <w:r>
        <w:fldChar w:fldCharType="end"/>
      </w:r>
      <w:r>
        <w:t xml:space="preserve"> shows the spatial comparison.</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w:t>
      </w:r>
      <w:r w:rsidR="001C6998">
        <w:rPr>
          <w:noProof/>
        </w:rPr>
        <w:t>V</w:t>
      </w:r>
      <w:r>
        <w:fldChar w:fldCharType="end"/>
      </w:r>
      <w:r>
        <w:t xml:space="preserve"> reports outcomes and scenario changes against Closed; worse counts refer to larger burned area among 30 worlds. Against Closed, VODA reduces burned area from 75.4 to 29.1 ha (61%), affected population from 391 to 79 persons (80%), physical cost by 60% and total cost by 48%. Area falls in 131 worlds, is unchanged in 10 and rises in 9. Response cost also falls by 46%, so resource expansion does not explain the gain. Later admission raises dispatch-delay cost by 36%, included in the total. Extinguished incidents rise from 52% to 91%; VODA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VODA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w:t>
      </w:r>
      <w:r>
        <w:fldChar w:fldCharType="end"/>
      </w:r>
      <w:r>
        <w:t xml:space="preserve"> groups the source and search comparisons with model-error and operating-limit tests. The gated search with a random proposer reduces area by 46%, compared with 61% for VODA, so the gate chain over the candidate set carries most of the gain. The random control is a random search over the grammar of (19) with simulation-based selection, 36 candidates per call priced on the same forecasts and admitted by the same gates, so it is a search controller without a language model over the same vocabulary, and its margin over Closed measures what the composed vocabulary and the search add to doctrine written in families. At this comparable budget, the candidate-only LLM configuration exceeds the small random control by 14 ± 11 percentage points, while adding variations yields a further 16 ± 9 points.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VODA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VODA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w:t>
      </w:r>
      <w:r>
        <w:lastRenderedPageBreak/>
        <w:t xml:space="preserve">nominal coating assumption. Known price, stock and delay limits retain 60%, 53% and 50%, respectively. Under the </w:t>
      </w:r>
      <w:proofErr w:type="gramStart"/>
      <w:r>
        <w:t>20 ha</w:t>
      </w:r>
      <w:proofErr w:type="gramEnd"/>
      <w:r>
        <w:t xml:space="preserve"> stock, mean coated area is 11.2 ha. With price doubled, response cost is 0.277 versus 0.231 nominally and 0.428 for Closed. These outcomes identify coating effectiveness and availability as determinants of the attainable gain. In the 44 nominal worlds where VODA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tactics selected as the recurring archetypes of the 75 derivation worlds, each admitted in at least 7 of them, and used as recorded doctrine in the transfer tests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 </w:t>
      </w:r>
      <w:r>
        <w:t xml:space="preserve">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installed as fixed rules, carry most of it: derived from 75 worlds and installed before 75 unseen worlds, they reduce area by 50 ± 15%.</w:t>
      </w:r>
      <w:r>
        <w:t xml:space="preserve">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VODA extends the decision space of a wildfire DSS through verified composition of executable physical effects. On 150 paired worlds, it reduces burned area by 61%, affected population by 80% and priced response by 46%, while increasing extinguished incidents from 52% to 91%. Two results separate the sources of the gain: a random proposer over the same effects, sectors and bands recovers three quarters of it, so the gain rests on the composed vocabulary and the forecast-guided search rather than on the language model, and a hand-written doctrine over the same effects gains little while the recorded tactics installed in the closed layer carry most of it, so what the closed layer lacks is not access to the effects but the compositions the search finds. Seen as a planner, the gated search is a receding-horizon search over an action grammar; the contribution is the architecture around it, a doctrine that records what the search admits and gates that keep the proposer from deciding, so that interventions are discovered, checked and reused over a fixed executable basis.</w:t>
      </w:r>
    </w:p>
    <w:p w14:paraId="26E4C15C" w14:textId="30C50EEF" w:rsidR="00FF0CB1" w:rsidRDefault="00DB0B75">
      <w:pPr>
        <w:pStyle w:val="Text"/>
        <w:spacing w:line="240" w:lineRule="auto"/>
      </w:pPr>
      <w:r>
        <w:t>The gain persists under the tested model errors and operating limits, including ineffective coating and faster-than-planned wind.  Admission nevertheless remains conditional on the hazard model. The forecast-based guard evaluates physical cost over the guard horizon; it does not guarantee improvement on every realized trajectory. The blind hindcast assesses spatial agreement for free spread and does not validate the modeled intervention effects. Degraded-observation results concern inference and targeting, while planning retains the core snapshot, so the robustness claim is limited to those stages.</w:t>
      </w:r>
    </w:p>
    <w:p w14:paraId="30DAB8EB" w14:textId="2055D6A3" w:rsidR="00FF0CB1" w:rsidRDefault="00DB0B75">
      <w:pPr>
        <w:pStyle w:val="Text"/>
        <w:spacing w:line="240" w:lineRule="auto"/>
      </w:pPr>
      <w:r>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is a Senior Principal Team Manager with HAVELSAN, Ankara, where he manages research and development projects on advanced sensor systems, decision support architectures, and command and control software for defense and public-safety programs.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