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three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(15).</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asset collar tactic of Table S3.</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