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rule set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in force as a rule.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larger domain. Equal-budget controls locate the gain: a search over the closed vocabulary and a random proposer recover much of it, a hand-written doctrine over the same effects gains little, and withdrawing each admitted object after one cycle removes the gain. The gain therefore rests on the gated search over the effect grammar and on admitted objects that stay in force through the incident,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bounded open decision space, compositional interventions,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 It is a receding-horizon, simulation-based optimization over a discrete grammar, run once per decision cycle; it differs from model predictive control in optimizing over composed objects that persist as rules rather than over a continuous input trajectory.</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ψ</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ι</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 xml:space="preserve">a</w:t>
            </w:r>
            <w:r>
              <w:t>)</w:t>
            </w:r>
          </w:p>
        </w:tc>
      </w:tr>
      <w:tr w:rsidR="003949BC" w14:paraId="3AE8D89B" w14:textId="77777777" w:rsidTr="00025AE1">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(13b)</w:t>
            </w:r>
          </w:p>
        </w:tc>
      </w:tr>
      <w:tr w:rsidR="003949BC" w14:paraId="3AE8D89B" w14:textId="77777777" w:rsidTr="00025AE1">
        <w:trPr>
          <w:cantSplit/>
          <w:jc w:val="center"/>
        </w:trPr>
        <w:tc>
          <w:tcPr>
            <w:tcW w:w="4500" w:type="pct"/>
            <w:vAlign w:val="center"/>
          </w:tcPr>
          <w:p>
            <w:pPr>
              <w:keepNext/>
              <w:jc w:val="center"/>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min</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(13c)</w:t>
            </w:r>
          </w:p>
        </w:tc>
      </w:tr>
      <w:tr w:rsidR="003949BC" w14:paraId="3AE8D89B" w14:textId="77777777" w:rsidTr="00025AE1">
        <w:trPr>
          <w:cantSplit/>
          <w:jc w:val="center"/>
        </w:trPr>
        <w:tc>
          <w:tcPr>
            <w:tcW w:w="4500" w:type="pct"/>
            <w:vAlign w:val="center"/>
          </w:tcPr>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(13d)</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 xml:space="preserve">a</w:t>
            </w:r>
            <w:r>
              <w:t>)</w:t>
            </w:r>
          </w:p>
        </w:tc>
      </w:tr>
      <w:tr w:rsidR="004F7DCA" w14:paraId="3618BEF6" w14:textId="77777777" w:rsidTr="002B2CE5">
        <w:trPr>
          <w:cantSplit/>
          <w:jc w:val="center"/>
        </w:trPr>
        <w:tc>
          <w:tcPr>
            <w:tcW w:w="4500" w:type="pct"/>
            <w:vAlign w:val="center"/>
          </w:tcPr>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(15b)</w:t>
            </w:r>
          </w:p>
        </w:tc>
      </w:tr>
      <w:tr w:rsidR="004F7DCA" w14:paraId="3618BEF6" w14:textId="77777777" w:rsidTr="002B2CE5">
        <w:trPr>
          <w:cantSplit/>
          <w:jc w:val="center"/>
        </w:trPr>
        <w:tc>
          <w:tcPr>
            <w:tcW w:w="4500" w:type="pct"/>
            <w:vAlign w:val="center"/>
          </w:tcPr>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(15c)</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 xml:space="preserve">a</w:t>
            </w:r>
            <w:r>
              <w:t>)</w:t>
            </w:r>
          </w:p>
        </w:tc>
      </w:tr>
      <w:tr w:rsidR="00FB6C00" w14:paraId="551C60C7" w14:textId="77777777" w:rsidTr="00CA6688">
        <w:trPr>
          <w:cantSplit/>
          <w:jc w:val="center"/>
        </w:trPr>
        <w:tc>
          <w:tcPr>
            <w:tcW w:w="4500" w:type="pct"/>
            <w:vAlign w:val="center"/>
          </w:tcPr>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(16b)</w:t>
            </w:r>
          </w:p>
        </w:tc>
      </w:tr>
      <w:tr w:rsidR="00FB6C00" w14:paraId="551C60C7" w14:textId="77777777" w:rsidTr="00CA6688">
        <w:trPr>
          <w:cantSplit/>
          <w:jc w:val="center"/>
        </w:trPr>
        <w:tc>
          <w:tcPr>
            <w:tcW w:w="4500" w:type="pct"/>
            <w:vAlign w:val="center"/>
          </w:tcPr>
          <w:p>
            <w:pPr>
              <w:keepNext/>
              <w:jc w:val="center"/>
            </w:pPr>
            <m:oMathPara>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(16c)</w:t>
            </w:r>
          </w:p>
        </w:tc>
      </w:tr>
      <w:tr w:rsidR="00FB6C00" w14:paraId="551C60C7" w14:textId="77777777" w:rsidTr="00CA6688">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(16d)</w:t>
            </w:r>
          </w:p>
        </w:tc>
      </w:tr>
      <w:tr w:rsidR="00FB6C00" w14:paraId="551C60C7" w14:textId="77777777" w:rsidTr="00CA6688">
        <w:trPr>
          <w:cantSplit/>
          <w:jc w:val="center"/>
        </w:trPr>
        <w:tc>
          <w:tcPr>
            <w:tcW w:w="4500" w:type="pct"/>
            <w:vAlign w:val="center"/>
          </w:tcPr>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(16e)</w:t>
            </w:r>
          </w:p>
        </w:tc>
      </w:tr>
      <w:tr w:rsidR="00FB6C00" w14:paraId="551C60C7" w14:textId="77777777" w:rsidTr="00CA6688">
        <w:trPr>
          <w:cantSplit/>
          <w:jc w:val="center"/>
        </w:trPr>
        <w:tc>
          <w:tcPr>
            <w:tcW w:w="4500" w:type="pct"/>
            <w:vAlign w:val="center"/>
          </w:tcPr>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(16f)</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are the left corners of term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E</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 xml:space="preserve">a</w:t>
            </w:r>
            <w:r>
              <w:t>)</w:t>
            </w:r>
          </w:p>
        </w:tc>
      </w:tr>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ϑ</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(18b)</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(18c)</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(18d)</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ϑ</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 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shadow futures that differ in their ember draws, require a strict gain; the two futures are close (Section V-A), so G6 guards against a candidate fitted to one ember path and not against state or model uncertainty.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E</m:t>
            </m:r>
          </m:sub>
        </m:sSub>
      </m:oMath>
      <w:r w:rsidR="00517F54">
        <w:t xml:space="preserve"> the rule carrying object </w:t>
      </w:r>
      <m:oMath>
        <m:r>
          <w:rPr>
            <w:rFonts w:ascii="Cambria Math" w:hAnsi="Cambria Math"/>
          </w:rPr>
          <m:t>E</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E</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 xml:space="preserve">a</w:t>
            </w:r>
            <w:r>
              <w:t>)</w:t>
            </w:r>
          </w:p>
        </w:tc>
      </w:tr>
      <w:tr w:rsidR="00F30F81" w14:paraId="209C4C85" w14:textId="77777777">
        <w:trPr>
          <w:cantSplit/>
          <w:jc w:val="center"/>
        </w:trPr>
        <w:tc>
          <w:tcPr>
            <w:tcW w:w="4500" w:type="pct"/>
            <w:vAlign w:val="center"/>
          </w:tcPr>
          <w:p>
            <w:pPr>
              <w:keepNext/>
              <w:jc w:val="center"/>
            </w:pPr>
            <m:oMathPara>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(19b)</w:t>
            </w:r>
          </w:p>
        </w:tc>
      </w:tr>
      <w:tr w:rsidR="00F30F81" w14:paraId="209C4C85" w14:textId="77777777">
        <w:trPr>
          <w:cantSplit/>
          <w:jc w:val="center"/>
        </w:trPr>
        <w:tc>
          <w:tcPr>
            <w:tcW w:w="4500" w:type="pct"/>
            <w:vAlign w:val="center"/>
          </w:tcPr>
          <w:p>
            <w:pPr>
              <w:keepNext/>
              <w:jc w:val="center"/>
            </w:pPr>
            <m:oMathPara>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E</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(19c)</w:t>
            </w:r>
          </w:p>
        </w:tc>
      </w:tr>
      <w:tr w:rsidR="00F30F81" w14:paraId="209C4C85" w14:textId="77777777">
        <w:trPr>
          <w:cantSplit/>
          <w:jc w:val="center"/>
        </w:trPr>
        <w:tc>
          <w:tcPr>
            <w:tcW w:w="4500" w:type="pct"/>
            <w:vAlign w:val="center"/>
          </w:tcPr>
          <w:p>
            <w:pPr>
              <w:keepNext/>
              <w:jc w:val="center"/>
            </w:pPr>
            <m:oMathPara>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(19d)</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t xml:space="preserve">Algorithm S1 in the Supplementary Material</w:t>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Γ</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 xml:space="preserve">a</w:t>
            </w:r>
            <w:r>
              <w:t>)</w:t>
            </w:r>
          </w:p>
        </w:tc>
      </w:tr>
      <w:tr w:rsidR="0043376C" w14:paraId="56A640FF" w14:textId="77777777" w:rsidTr="00FE5410">
        <w:trPr>
          <w:cantSplit/>
          <w:jc w:val="center"/>
        </w:trPr>
        <w:tc>
          <w:tcPr>
            <w:tcW w:w="4500" w:type="pct"/>
            <w:vAlign w:val="center"/>
          </w:tcPr>
          <w:p>
            <w:pPr>
              <w:keepNext/>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(21b)</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(21c)</w:t>
            </w:r>
          </w:p>
        </w:tc>
      </w:tr>
    </w:tbl>
    <w:p w14:paraId="43185AAB" w14:textId="77777777" w:rsidR="0043376C" w:rsidRPr="001D185A" w:rsidRDefault="0043376C" w:rsidP="007B7A52">
      <w:pPr>
        <w:pStyle w:val="Text"/>
        <w:rPr>
          <w:sz w:val="14"/>
          <w:szCs w:val="14"/>
        </w:rPr>
      </w:pPr>
    </w:p>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t xml:space="preserve">Table S8 in the Supplementary Material</w:t>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S7 removes. In S5 the confidence of every reading, selected for corruption or not, is multiplied by 0.8, so the closed layer knows the outage rate but not which readings are corrupted.</w:t>
      </w:r>
    </w:p>
    <w:p w14:paraId="09B60A2D" w14:textId="1917FC1F" w:rsidR="003E3FD9" w:rsidRDefault="00284E68" w:rsidP="00C83E79">
      <w:pPr>
        <w:pStyle w:val="TableTitle"/>
        <w:keepNext/>
        <w:spacing w:before="120"/>
      </w:pPr>
      <w:bookmarkStart w:id="51" w:name="_RefTab_scen"/>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w:t>
      </w:r>
      <w:r w:rsidR="00D31F60">
        <w:rPr>
          <w:noProof/>
        </w:rPr>
        <w:fldChar w:fldCharType="end"/>
      </w:r>
      <w:bookmarkEnd w:id="51"/>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The behavior of hosted language models drifts across versions [60], so the model name is recorded and the repeat run reports the run-to-run change. </w:t>
      </w:r>
      <w:sdt>
        <w:sdtPr>
          <w:id w:val="-314533478"/>
          <w:citation/>
        </w:sdtPr>
        <w:sdtEndPr/>
        <w:sdtContent>
          <w:r>
            <w:fldChar w:fldCharType="begin"/>
          </w:r>
          <w:r>
            <w:instrText xml:space="preserve"> CITATION Chen24 \l 1033 </w:instrText>
          </w:r>
          <w:r>
            <w:fldChar w:fldCharType="separate"/>
          </w:r>
          <w:r>
            <w:rPr>
              <w:noProof/>
            </w:rPr>
            <w:t xml:space="preserve"/>
          </w:r>
          <w:r>
            <w:fldChar w:fldCharType="end"/>
          </w:r>
        </w:sdtContent>
      </w:sdt>
      <w:r>
        <w:t xml:space="preserve">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S8 in the Supplementary Material lists the controls; each keeps the worlds and gates of GODA and changes one thing.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Each setting has its own paired Closed reference. The six hand-written tactics of Table III,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chooses the band and amount of each tactic among six variants by the one-future forecast, six forecasts per tactic, the first time the tactic fires.</w:t>
      </w:r>
      <w:r>
        <w:fldChar w:fldCharType="begin"/>
      </w:r>
      <w:r>
        <w:instrText xml:space="preserve"> REF _RefTab_expert \h </w:instrText>
      </w:r>
      <w:r>
        <w:fldChar w:fldCharType="separate"/>
      </w:r>
      <w:r>
        <w:t xml:space="preserve"/>
      </w:r>
      <w:r>
        <w:fldChar w:fldCharType="end"/>
      </w:r>
      <w:r>
        <w:t xml:space="preserve"/>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57 aggregate comparisons, the main comparison and every row of Tables VI, VII and S7,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 VII and S7 carry unadjusted 95% intervals; the last column of each gives the Holm-adjusted p, under which 52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 carries that row beside the nominal one. Table V also gives, each against its own Closed reference, the forecast-matched search over the closed vocabulary (44.5 ha, the reference for what the composed grammar adds), coating held to the reach and charge of the ground effects (36.0 ha), the replay without the ignite-bearing objects (34.3 ha) and the larger domain (134 ha against 309). Response cost also falls by 46%, so resource expansion does not explain the gain. Four changed cost functions, replayed and in one case rerun live, leave the area result unchanged and narrow the total-cost margin at most from 48% to 31% (Supplementary Material).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59"/>
    </w:p>
    <w:p w14:paraId="21638B9C" w14:textId="77777777" w:rsidR="00CB2143" w:rsidRDefault="00CB2143" w:rsidP="00CB2143">
      <w:pPr>
        <w:pStyle w:val="TableTitle"/>
        <w:keepNext/>
        <w:spacing w:after="60"/>
      </w:pPr>
      <w:r>
        <w:t xml:space="preserve">Main outcomes and scenario comparisons (rows naming a setting give that configuration against its own Closed reference)</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closed-vocabulary search at equal budget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44.5 ± 10.1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coating reach-limited and charged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77.8 ± 12.3</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36.0 ± 8.6</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ignite objects withheld, replay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34.3 ± 8.7</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3.6 × 2.7 km domain, 30 worlds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309 ± 104</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134 ± 85</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 xml:space="preserve">Table VI groups the source, search and gate comparisons; Table S7 in the Supplementary Material holds the model-error and operating-limit rows.</w:t>
      </w:r>
      <w:r>
        <w:fldChar w:fldCharType="end"/>
      </w:r>
      <w:r>
        <w:t xml:space="preserve">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An evolutionary search restricted to the same six families, the receding-horizon optimization baseline over the closed vocabulary, reaches 43 ± 11% with 82% of incidents extinguished, within 4 ± 11% of the random closed-vocabulary search; paired directly, GODA lowers area by a further 32 ± 16% and total cost by 25 ± 10% against it, better in 99 worlds and worse in 38, so a stronger optimizer over the closed vocabulary does not close the gap, and the composed grammar, not the lookahead alone, carries the difference. Random seeds with the variation operator reach 34 ± 9%, below fresh sampling, so variations need good seeds. Seeding the same search with the hand-written tactics of Table III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since the two standard futures are close, independent futures are the recommended setting for the gates.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an admitted object must stay in force through the incident; the withdrawal ends its order and its reuse together, and this test does not separate the two.</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4C499829" w14:textId="77777777" w:rsidR="00CB2143" w:rsidRDefault="00CB2143" w:rsidP="00CB2143">
      <w:pPr>
        <w:pStyle w:val="TableTitle"/>
        <w:keepNext/>
        <w:spacing w:after="60"/>
      </w:pPr>
      <w:r>
        <w:t xml:space="preserve">Search and gate comparisons (unadjusted 95% half-widths; p Holm-adjusted over the family of 57)</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 xml:space="preserve">Evolutionary search, families only</w:t>
            </w:r>
          </w:p>
        </w:tc>
        <w:tc>
          <w:tcPr>
            <w:tcW w:w="1100" w:type="dxa"/>
          </w:tcPr>
          <w:p w14:paraId="0F493BA2" w14:textId="77777777" w:rsidR="00CB2143" w:rsidRDefault="00CB2143" w:rsidP="00074B69">
            <w:pPr>
              <w:keepNext/>
              <w:spacing w:line="220" w:lineRule="auto"/>
              <w:jc w:val="center"/>
            </w:pPr>
            <w:r>
              <w:rPr>
                <w:sz w:val="18"/>
              </w:rPr>
              <w:t xml:space="preserve">−43 ± 11</w:t>
            </w:r>
          </w:p>
        </w:tc>
        <w:tc>
          <w:tcPr>
            <w:tcW w:w="1100" w:type="dxa"/>
          </w:tcPr>
          <w:p w14:paraId="07817279" w14:textId="77777777" w:rsidR="00CB2143" w:rsidRDefault="00CB2143" w:rsidP="00074B69">
            <w:pPr>
              <w:keepNext/>
              <w:spacing w:line="220" w:lineRule="auto"/>
              <w:jc w:val="center"/>
            </w:pPr>
            <w:r>
              <w:rPr>
                <w:sz w:val="18"/>
              </w:rPr>
              <w:t xml:space="preserve">−31 ± 7</w:t>
            </w:r>
          </w:p>
        </w:tc>
        <w:tc>
          <w:tcPr>
            <w:tcW w:w="1053" w:type="dxa"/>
          </w:tcPr>
          <w:p w14:paraId="0C113D6A" w14:textId="77777777" w:rsidR="00CB2143" w:rsidRDefault="00CB2143" w:rsidP="00074B69">
            <w:pPr>
              <w:keepNext/>
              <w:spacing w:line="220" w:lineRule="auto"/>
              <w:jc w:val="center"/>
            </w:pPr>
            <w:r>
              <w:rPr>
                <w:sz w:val="18"/>
              </w:rPr>
              <w:t xml:space="preserve">&lt;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 12 × 3</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6 × 5</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18 × 1</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0.82</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Table S7 in the Supplementary Material lists the model-error and operating-limit rows. 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S7,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III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6 ± 7%, within 3 ± 6% of the tactics as written; in 74% of the choices no variant changes the 45 min forecast and the tactic stays as written, so the forecast has nothing to tune in a hand-written tactic.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57)</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−6 ± 7</w:t>
            </w:r>
          </w:p>
        </w:tc>
        <w:tc>
          <w:tcPr>
            <w:tcW w:w="780" w:type="dxa"/>
            <w:vAlign w:val="center"/>
          </w:tcPr>
          <w:p w14:paraId="79EBE2CB" w14:textId="77777777" w:rsidR="00284E68" w:rsidRDefault="00284E68" w:rsidP="00652ECC">
            <w:pPr>
              <w:keepNext/>
              <w:spacing w:line="220" w:lineRule="auto"/>
              <w:jc w:val="center"/>
            </w:pPr>
            <w:r>
              <w:rPr>
                <w:sz w:val="18"/>
              </w:rPr>
              <w:t xml:space="preserve">−2 ± 6</w:t>
            </w:r>
          </w:p>
        </w:tc>
        <w:tc>
          <w:tcPr>
            <w:tcW w:w="800" w:type="dxa"/>
            <w:vAlign w:val="center"/>
          </w:tcPr>
          <w:p w14:paraId="696872FD" w14:textId="77777777" w:rsidR="00284E68" w:rsidRDefault="00284E68" w:rsidP="00652ECC">
            <w:pPr>
              <w:keepNext/>
              <w:spacing w:line="220" w:lineRule="auto"/>
              <w:jc w:val="center"/>
            </w:pPr>
            <w:r>
              <w:rPr>
                <w:sz w:val="18"/>
              </w:rPr>
              <w:t xml:space="preserve">0.36</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 xml:space="preserve">0.0010</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Pr>
          <w:sz w:val="18"/>
        </w:rPr>
        <w:t xml:space="preserve">Fig. S1 in the Supplementary Material</w:t>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which makes that search, not the reactive closed layer, the reference for what the composed grammar adds, a margin of 35 ± 17% that survives the correction, and an evolutionary search over the same closed vocabulary leaves a margin of 32 ± 16%; a random proposer over the composed grammar recovers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admitted objects must stay in force through the incident, since withdrawing each after one cycle, which ends its order and its reuse together,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hazard model, the decision core and the doctrine record are evaluated, the regional agents for cost and scaling only, and the operator interface, distributed operation and data assimilation are design. The language model is a hosted service with closed weights, undisclosed sampling and version drift, and its computation is not counted in the equal-budget comparison; since its margin over the random proposer is not established after correction, the configuration with the random proposer, which needs no model call, is the recommended default where a model is unavailable or its cost is not justified, and the model is an optional candidate source.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S7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S7 rather than calibrated on observed operations; and the hand-written tactics of Table III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