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and by 24% against an equal-budget evolutionary search over the same grammar,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with independent gate futures the advantage over the closed layer is 54%.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(Section VI).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Code, world seeds, configurations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[55]</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across these settings, which span the range of retardant and line effectiveness reported in [46], the advantage runs from 33% to 61%. Known price, stock and delay limits retain 60%, 53% and 50%, respectively. Under the 20 ha stock, mean coated area is 11.2 ha. With price doubled, response cost is 0.277 versus 0.231 nominally and 0.428 for Closed.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[56]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[53, 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[55]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[56]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55</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56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