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[47], mean Rothermel spread rate divided by 30 m/min [6] and fire-weather inputs [48]; weather severity clips 0.45 min(wind/20, 1) + 0.35(1 − humidity/100) + 0.20 clip((temperature − 15)/25). Ignition proximity is one inside a burning region, zero without fire, and otherwise clipped 1 − distance/(half-map diagonal); fuel load averages remaining fuel [44]. Asset exposure is maximum priority, weighting buildings, critical facilities, min–max population and inverted min–max route distance by 0.20, 0.40, 0.25 and 0.15 [4], and accessibility is mean terrain access [49]. Road coverage is divided by 0.05, and staged capacity times availability by 0.05 times maximum capacity times regional cell count [45],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three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