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Akman and Kemal Leblebicioğlu</w:t>
      </w:r>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Pr>
          <w:b/>
          <w:bCs/>
          <w:i/>
          <w:iCs/>
          <w:sz w:val="18"/>
          <w:szCs w:val="18"/>
        </w:rPr>
        <w:t>Abstract</w:t>
      </w:r>
      <w:r>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instrText xml:space="preserve"> CITATION Turoff04 \l 1033 </w:instrText>
            <w:fldChar w:fldCharType="separate"/>
          </w:r>
          <w:r>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instrText xml:space="preserve">CITATION Bowman20 \m Thompson11 \l 1033 </w:instrText>
            <w:fldChar w:fldCharType="separate"/>
          </w:r>
          <w:r>
            <w:rPr>
              <w:noProof/>
            </w:rPr>
            <w:t>[2, 3]</w:t>
          </w:r>
          <w:r>
            <w:fldChar w:fldCharType="end"/>
          </w:r>
        </w:sdtContent>
      </w:sdt>
      <w:r>
        <w:t xml:space="preserve">. Fire seasons are becoming longer and more severe </w:t>
      </w:r>
      <w:sdt>
        <w:sdtPr>
          <w:id w:val="-1999990950"/>
          <w:citation/>
        </w:sdtPr>
        <w:sdtEndPr/>
        <w:sdtContent>
          <w:r>
            <w:fldChar w:fldCharType="begin"/>
            <w:instrText xml:space="preserve"> CITATION Bowman20 \l 1033 </w:instrText>
            <w:fldChar w:fldCharType="separate"/>
          </w:r>
          <w:r>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instrText xml:space="preserve">CITATION Thompson11 \m Calkin21 \l 1033 </w:instrText>
            <w:fldChar w:fldCharType="separate"/>
          </w:r>
          <w:r>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instrText xml:space="preserve"> CITATION Vasquez21 \l 1033 </w:instrText>
            <w:fldChar w:fldCharType="separate"/>
          </w:r>
          <w:r>
            <w:rPr>
              <w:noProof/>
            </w:rPr>
            <w:t>[5]</w:t>
          </w:r>
          <w:r>
            <w:fldChar w:fldCharType="end"/>
          </w:r>
        </w:sdtContent>
      </w:sdt>
      <w:r>
        <w:t xml:space="preserve">. Spread simulators forecast fire behavior from fuel, terrain, and weather </w:t>
      </w:r>
      <w:sdt>
        <w:sdtPr>
          <w:id w:val="-1999990945"/>
          <w:citation/>
        </w:sdtPr>
        <w:sdtEndPr/>
        <w:sdtContent>
          <w:r>
            <w:fldChar w:fldCharType="begin"/>
            <w:instrText xml:space="preserve"> CITATION Rothermel72 \l 1033 \m Finney06 </w:instrText>
            <w:fldChar w:fldCharType="separate"/>
          </w:r>
          <w:r>
            <w:rPr>
              <w:noProof/>
            </w:rPr>
            <w:t>[6, 7]</w:t>
          </w:r>
          <w:r>
            <w:fldChar w:fldCharType="end"/>
          </w:r>
        </w:sdtContent>
      </w:sdt>
      <w:r>
        <w:t xml:space="preserve">, allocation tools assign crews and aircraft against a forecast </w:t>
      </w:r>
      <w:sdt>
        <w:sdtPr>
          <w:id w:val="-1999990944"/>
          <w:citation/>
        </w:sdtPr>
        <w:sdtEndPr/>
        <w:sdtContent>
          <w:r>
            <w:fldChar w:fldCharType="begin"/>
            <w:instrText xml:space="preserve"> CITATION Pais21 \l 1033 \m Orphanoudakis25 </w:instrText>
            <w:fldChar w:fldCharType="separate"/>
          </w:r>
          <w:r>
            <w:rPr>
              <w:noProof/>
            </w:rPr>
            <w:t>[8, 9]</w:t>
          </w:r>
          <w:r>
            <w:fldChar w:fldCharType="end"/>
          </w:r>
        </w:sdtContent>
      </w:sdt>
      <w:r>
        <w:t xml:space="preserve">, and integrated platforms bring these parts together for field use </w:t>
      </w:r>
      <w:sdt>
        <w:sdtPr>
          <w:id w:val="-1979979992"/>
          <w:citation/>
        </w:sdtPr>
        <w:sdtEndPr/>
        <w:sdtContent>
          <w:r>
            <w:fldChar w:fldCharType="begin"/>
            <w:instrText xml:space="preserve"> CITATION Calkin21 \l 1033 \m NoonanWright11 </w:instrText>
            <w:fldChar w:fldCharType="separate"/>
          </w:r>
          <w:r>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instrText xml:space="preserve"> CITATION Rapp20 \l 1033 \m Rapp26 </w:instrText>
            <w:fldChar w:fldCharType="separate"/>
          </w:r>
          <w:r>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instrText xml:space="preserve"> CITATION Arnott05 \l 1033 </w:instrText>
            <w:fldChar w:fldCharType="separate"/>
          </w:r>
          <w:r>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t xml:space="preserve">Three structural limits recur across these systems. First, a rule base, tactic menu, or optimization model fixes available orders before the incident, so the system only ranks what it is given </w:t>
      </w:r>
      <w:sdt>
        <w:sdtPr>
          <w:id w:val="-1979979989"/>
          <w:citation/>
        </w:sdtPr>
        <w:sdtEndPr/>
        <w:sdtContent>
          <w:r>
            <w:fldChar w:fldCharType="begin"/>
            <w:instrText xml:space="preserve"> CITATION NoonanWright11 \l 1033 </w:instrText>
            <w:fldChar w:fldCharType="separate"/>
          </w:r>
          <w:r>
            <w:rPr>
              <w:noProof/>
            </w:rPr>
            <w:t>[10]</w:t>
          </w:r>
          <w:r>
            <w:fldChar w:fldCharType="end"/>
          </w:r>
        </w:sdtContent>
      </w:sdt>
      <w:r>
        <w:t xml:space="preserve">. Decision analysis has long identified alternative generation as its weakest step </w:t>
      </w:r>
      <w:sdt>
        <w:sdtPr>
          <w:id w:val="-1979979986"/>
          <w:citation/>
        </w:sdtPr>
        <w:sdtEndPr/>
        <w:sdtContent>
          <w:r>
            <w:fldChar w:fldCharType="begin"/>
            <w:instrText xml:space="preserve">CITATION Arbel82 \m Hofstede95 \m Colorni20 \l 1033 </w:instrText>
            <w:fldChar w:fldCharType="separate"/>
          </w:r>
          <w:r>
            <w:rPr>
              <w:noProof/>
            </w:rPr>
            <w:t>[14, 15, 16]</w:t>
          </w:r>
          <w:r>
            <w:fldChar w:fldCharType="end"/>
          </w:r>
        </w:sdtContent>
      </w:sdt>
      <w:r>
        <w:t xml:space="preserve">. Proposed methods either vary a fixed model </w:t>
      </w:r>
      <w:sdt>
        <w:sdtPr>
          <w:id w:val="-1979979983"/>
          <w:citation/>
        </w:sdtPr>
        <w:sdtEndPr/>
        <w:sdtContent>
          <w:r>
            <w:fldChar w:fldCharType="begin"/>
            <w:instrText xml:space="preserve">CITATION Brill90 \l 1033 </w:instrText>
            <w:fldChar w:fldCharType="separate"/>
          </w:r>
          <w:r>
            <w:rPr>
              <w:noProof/>
            </w:rPr>
            <w:t>[17]</w:t>
          </w:r>
          <w:r>
            <w:fldChar w:fldCharType="end"/>
          </w:r>
        </w:sdtContent>
      </w:sdt>
      <w:r>
        <w:t xml:space="preserve"> or depend on operator recall under time pressure </w:t>
      </w:r>
      <w:sdt>
        <w:sdtPr>
          <w:id w:val="-1999990935"/>
          <w:citation/>
        </w:sdtPr>
        <w:sdtEndPr/>
        <w:sdtContent>
          <w:r>
            <w:fldChar w:fldCharType="begin"/>
            <w:instrText xml:space="preserve"> CITATION Klein17 \l 1033 </w:instrText>
            <w:fldChar w:fldCharType="separate"/>
          </w:r>
          <w:r>
            <w:rPr>
              <w:noProof/>
            </w:rPr>
            <w:t>[18]</w:t>
          </w:r>
          <w:r>
            <w:fldChar w:fldCharType="end"/>
          </w:r>
        </w:sdtContent>
      </w:sdt>
      <w:r>
        <w:t xml:space="preserve">. Second, uncertainty treatments require prior distributions or belief assignments that real-time sensing alone cannot supply </w:t>
      </w:r>
      <w:sdt>
        <w:sdtPr>
          <w:id w:val="-1979979966"/>
          <w:citation/>
        </w:sdtPr>
        <w:sdtEndPr/>
        <w:sdtContent>
          <w:r>
            <w:fldChar w:fldCharType="begin"/>
            <w:instrText xml:space="preserve"> CITATION Morgan90 \l 1033 \m Shafer76 </w:instrText>
            <w:fldChar w:fldCharType="separate"/>
          </w:r>
          <w:r>
            <w:rPr>
              <w:noProof/>
            </w:rPr>
            <w:t>[19, 20]</w:t>
          </w:r>
          <w:r>
            <w:fldChar w:fldCharType="end"/>
          </w:r>
        </w:sdtContent>
      </w:sdt>
      <w:r>
        <w:t xml:space="preserve">, while the reasoning behind a recommendation may remain accessible only through post-hoc attribution </w:t>
      </w:r>
      <w:sdt>
        <w:sdtPr>
          <w:id w:val="-1999990933"/>
          <w:citation/>
        </w:sdtPr>
        <w:sdtEndPr/>
        <w:sdtContent>
          <w:r>
            <w:fldChar w:fldCharType="begin"/>
            <w:instrText xml:space="preserve"> CITATION Ribeiro16 \l 1033 </w:instrText>
            <w:fldChar w:fldCharType="separate"/>
          </w:r>
          <w:r>
            <w:rPr>
              <w:noProof/>
            </w:rPr>
            <w:t>[21]</w:t>
          </w:r>
          <w:r>
            <w:fldChar w:fldCharType="end"/>
          </w:r>
        </w:sdtContent>
      </w:sdt>
      <w:r>
        <w:t xml:space="preserve">. Third, integrated platforms embed the hazard model and decision logic in one tool </w:t>
      </w:r>
      <w:sdt>
        <w:sdtPr>
          <w:id w:val="-1999990932"/>
          <w:citation/>
        </w:sdtPr>
        <w:sdtEndPr/>
        <w:sdtContent>
          <w:r>
            <w:fldChar w:fldCharType="begin"/>
            <w:instrText xml:space="preserve"> CITATION Calkin21 \l 1033 \m NoonanWright11 </w:instrText>
            <w:fldChar w:fldCharType="separate"/>
          </w:r>
          <w:r>
            <w:rPr>
              <w:noProof/>
            </w:rPr>
            <w:t>[4, 10]</w:t>
          </w:r>
          <w:r>
            <w:fldChar w:fldCharType="end"/>
          </w:r>
        </w:sdtContent>
      </w:sdt>
      <w:r>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t>. Related Work and Background</w:t>
      </w:r>
    </w:p>
    <w:p w14:paraId="77C2CA64" w14:textId="77777777" w:rsidR="00926552" w:rsidRDefault="002221CD" w:rsidP="00926552">
      <w:pPr>
        <w:pStyle w:val="Heading2"/>
      </w:pPr>
      <w:bookmarkStart w:id="4" w:name="_RefSec_II_A"/>
      <w:r>
        <w:rPr>
          <w:noProof/>
        </w:rPr>
        <w:t>A</w:t>
      </w:r>
      <w:bookmarkEnd w:id="4"/>
      <w:r>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instrText xml:space="preserve"> CITATION Rothermel72 \l 1033 </w:instrText>
            <w:fldChar w:fldCharType="separate"/>
          </w:r>
          <w:r>
            <w:rPr>
              <w:noProof/>
            </w:rPr>
            <w:t>[6]</w:t>
          </w:r>
          <w:r>
            <w:fldChar w:fldCharType="end"/>
          </w:r>
        </w:sdtContent>
      </w:sdt>
      <w:r>
        <w:t xml:space="preserve">, underpinning operational tools such as FlamMap </w:t>
      </w:r>
      <w:sdt>
        <w:sdtPr>
          <w:id w:val="-1999990982"/>
          <w:citation/>
        </w:sdtPr>
        <w:sdtEndPr/>
        <w:sdtContent>
          <w:r>
            <w:fldChar w:fldCharType="begin"/>
            <w:instrText xml:space="preserve"> CITATION Finney06 \l 1033 </w:instrText>
            <w:fldChar w:fldCharType="separate"/>
          </w:r>
          <w:r>
            <w:rPr>
              <w:noProof/>
            </w:rPr>
            <w:t>[7]</w:t>
          </w:r>
          <w:r>
            <w:fldChar w:fldCharType="end"/>
          </w:r>
        </w:sdtContent>
      </w:sdt>
      <w:r>
        <w:t xml:space="preserve">, cellular simulators such as Cell2Fire </w:t>
      </w:r>
      <w:sdt>
        <w:sdtPr>
          <w:id w:val="-1999990983"/>
          <w:citation/>
        </w:sdtPr>
        <w:sdtEndPr/>
        <w:sdtContent>
          <w:r>
            <w:fldChar w:fldCharType="begin"/>
            <w:instrText xml:space="preserve">CITATION Pais212 \l 1033 </w:instrText>
            <w:fldChar w:fldCharType="separate"/>
          </w:r>
          <w:r>
            <w:rPr>
              <w:noProof/>
            </w:rPr>
            <w:t>[22]</w:t>
          </w:r>
          <w:r>
            <w:fldChar w:fldCharType="end"/>
          </w:r>
        </w:sdtContent>
      </w:sdt>
      <w:r>
        <w:t xml:space="preserve">, and GODA's simulation core. DSSs built on these models cover strategic risk assessment </w:t>
      </w:r>
      <w:sdt>
        <w:sdtPr>
          <w:id w:val="-1999990984"/>
          <w:citation/>
        </w:sdtPr>
        <w:sdtEndPr/>
        <w:sdtContent>
          <w:r>
            <w:fldChar w:fldCharType="begin"/>
            <w:instrText xml:space="preserve"> CITATION Calkin21 \l 1033 \m Pais21 </w:instrText>
            <w:fldChar w:fldCharType="separate"/>
          </w:r>
          <w:r>
            <w:rPr>
              <w:noProof/>
            </w:rPr>
            <w:t>[4, 8]</w:t>
          </w:r>
          <w:r>
            <w:fldChar w:fldCharType="end"/>
          </w:r>
        </w:sdtContent>
      </w:sdt>
      <w:r>
        <w:t xml:space="preserve">, multi-criteria allocation </w:t>
      </w:r>
      <w:sdt>
        <w:sdtPr>
          <w:id w:val="-1979979976"/>
          <w:citation/>
        </w:sdtPr>
        <w:sdtEndPr/>
        <w:sdtContent>
          <w:r>
            <w:fldChar w:fldCharType="begin"/>
            <w:instrText xml:space="preserve"> CITATION Orphanoudakis25 \l 1033 </w:instrText>
            <w:fldChar w:fldCharType="separate"/>
          </w:r>
          <w:r>
            <w:rPr>
              <w:noProof/>
            </w:rPr>
            <w:t>[9]</w:t>
          </w:r>
          <w:r>
            <w:fldChar w:fldCharType="end"/>
          </w:r>
        </w:sdtContent>
      </w:sdt>
      <w:r>
        <w:t xml:space="preserve">, and integrated platforms </w:t>
      </w:r>
      <w:sdt>
        <w:sdtPr>
          <w:id w:val="-1999990986"/>
          <w:citation/>
        </w:sdtPr>
        <w:sdtEndPr/>
        <w:sdtContent>
          <w:r>
            <w:fldChar w:fldCharType="begin"/>
            <w:instrText xml:space="preserve"> CITATION NoonanWright11 \l 1033 </w:instrText>
            <w:fldChar w:fldCharType="separate"/>
          </w:r>
          <w:r>
            <w:rPr>
              <w:noProof/>
            </w:rPr>
            <w:t>[10]</w:t>
          </w:r>
          <w:r>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fldChar w:fldCharType="begin"/>
            <w:instrText xml:space="preserve">CITATION Thompson11 \l 1033 </w:instrText>
            <w:fldChar w:fldCharType="separate"/>
          </w:r>
          <w:r>
            <w:rPr>
              <w:noProof/>
            </w:rPr>
            <w:t>[3]</w:t>
          </w:r>
          <w:r>
            <w:fldChar w:fldCharType="end"/>
          </w:r>
        </w:sdtContent>
      </w:sdt>
      <w:r>
        <w:t>.</w:t>
      </w:r>
    </w:p>
    <w:p w14:paraId="26A9F178" w14:textId="77777777" w:rsidR="000334CF" w:rsidRDefault="002221CD">
      <w:pPr>
        <w:pStyle w:val="Heading2"/>
      </w:pPr>
      <w:bookmarkStart w:id="5" w:name="_RefSec_II_B"/>
      <w:r>
        <w:rPr>
          <w:noProof/>
        </w:rPr>
        <w:t>B</w:t>
      </w:r>
      <w:bookmarkEnd w:id="5"/>
      <w:r>
        <w:t xml:space="preserve">. Observation Features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instrText xml:space="preserve"> CITATION Zadeh65 \l 1033 </w:instrText>
            <w:fldChar w:fldCharType="separate"/>
          </w:r>
          <w:r>
            <w:rPr>
              <w:noProof/>
            </w:rPr>
            <w:t>[23]</w:t>
          </w:r>
          <w:r>
            <w:fldChar w:fldCharType="end"/>
          </w:r>
        </w:sdtContent>
      </w:sdt>
      <w:r>
        <w:t xml:space="preserve">. GODA uses constant consequents in the Takagi-Sugeno (TS) model </w:t>
      </w:r>
      <w:sdt>
        <w:sdtPr>
          <w:id w:val="-1959958998"/>
          <w:citation/>
        </w:sdtPr>
        <w:sdtEndPr/>
        <w:sdtContent>
          <w:r>
            <w:fldChar w:fldCharType="begin"/>
            <w:instrText xml:space="preserve"> CITATION Takagi85 \l 1033 </w:instrText>
            <w:fldChar w:fldCharType="separate"/>
          </w:r>
          <w:r>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instrText xml:space="preserve"> CITATION Angelov04 \l 1033 </w:instrText>
            <w:fldChar w:fldCharType="separate"/>
          </w:r>
          <w:r>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fldChar w:fldCharType="begin"/>
            <w:instrText xml:space="preserve">CITATION Thompson11 \m Klein17 \l 1033 </w:instrText>
            <w:fldChar w:fldCharType="separate"/>
          </w:r>
          <w:r>
            <w:rPr>
              <w:noProof/>
            </w:rPr>
            <w:t>[3, 18]</w:t>
          </w:r>
          <w:r>
            <w:fldChar w:fldCharType="end"/>
          </w:r>
        </w:sdtContent>
      </w:sdt>
      <w:r>
        <w:t xml:space="preserve">, namely fire threat level, suppression feasibility, asset exposure risk, intervention urgency, and evacuation pressure.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instrText xml:space="preserve"> CITATION French19 \l 1033 </w:instrText>
            <w:fldChar w:fldCharType="separate"/>
          </w:r>
          <w:r>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instrText xml:space="preserve">CITATION Arbel82 \l 1033 </w:instrText>
            <w:fldChar w:fldCharType="separate"/>
          </w:r>
          <w:r>
            <w:rPr>
              <w:noProof/>
            </w:rPr>
            <w:t>[14]</w:t>
          </w:r>
          <w:r>
            <w:fldChar w:fldCharType="end"/>
          </w:r>
        </w:sdtContent>
      </w:sdt>
      <w:r>
        <w:t xml:space="preserve">, despite its formalization as recursive decision problems </w:t>
      </w:r>
      <w:sdt>
        <w:sdtPr>
          <w:id w:val="-1979979964"/>
          <w:citation/>
        </w:sdtPr>
        <w:sdtEndPr/>
        <w:sdtContent>
          <w:r>
            <w:fldChar w:fldCharType="begin"/>
            <w:instrText xml:space="preserve"> CITATION Colorni20 \l 1033 </w:instrText>
            <w:fldChar w:fldCharType="separate"/>
          </w:r>
          <w:r>
            <w:rPr>
              <w:noProof/>
            </w:rPr>
            <w:t>[16]</w:t>
          </w:r>
          <w:r>
            <w:fldChar w:fldCharType="end"/>
          </w:r>
        </w:sdtContent>
      </w:sdt>
      <w:r>
        <w:t xml:space="preserve">. Hard-wiring a problem's open parts can impede adoption </w:t>
      </w:r>
      <w:sdt>
        <w:sdtPr>
          <w:id w:val="-1979979985"/>
          <w:citation/>
        </w:sdtPr>
        <w:sdtEndPr/>
        <w:sdtContent>
          <w:r>
            <w:fldChar w:fldCharType="begin"/>
            <w:instrText xml:space="preserve"> CITATION Hofstede95 \l 1033 </w:instrText>
            <w:fldChar w:fldCharType="separate"/>
          </w:r>
          <w:r>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instrText xml:space="preserve"> CITATION Missier15 \l 1033 </w:instrText>
            <w:fldChar w:fldCharType="separate"/>
          </w:r>
          <w:r>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instrText xml:space="preserve"> CITATION Klein17 \l 1033 </w:instrText>
            <w:fldChar w:fldCharType="separate"/>
          </w:r>
          <w:r>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instrText xml:space="preserve">CITATION Brill90 \l 1033 </w:instrText>
            <w:fldChar w:fldCharType="separate"/>
          </w:r>
          <w:r>
            <w:rPr>
              <w:noProof/>
            </w:rPr>
            <w:t>[17]</w:t>
          </w:r>
          <w:r>
            <w:fldChar w:fldCharType="end"/>
          </w:r>
        </w:sdtContent>
      </w:sdt>
      <w:r>
        <w:t xml:space="preserve">, combines compatible modules </w:t>
      </w:r>
      <w:sdt>
        <w:sdtPr>
          <w:id w:val="-1979979958"/>
          <w:citation/>
        </w:sdtPr>
        <w:sdtEndPr/>
        <w:sdtContent>
          <w:r>
            <w:fldChar w:fldCharType="begin"/>
            <w:instrText xml:space="preserve"> CITATION Struss19 \l 1033 </w:instrText>
            <w:fldChar w:fldCharType="separate"/>
          </w:r>
          <w:r>
            <w:rPr>
              <w:noProof/>
            </w:rPr>
            <w:t>[28]</w:t>
          </w:r>
          <w:r>
            <w:fldChar w:fldCharType="end"/>
          </w:r>
        </w:sdtContent>
      </w:sdt>
      <w:r>
        <w:t xml:space="preserve">, or adds actions at run time </w:t>
      </w:r>
      <w:sdt>
        <w:sdtPr>
          <w:id w:val="-1979979929"/>
          <w:citation/>
        </w:sdtPr>
        <w:sdtEndPr/>
        <w:sdtContent>
          <w:r>
            <w:fldChar w:fldCharType="begin"/>
            <w:instrText xml:space="preserve"> CITATION Ding23 \l 1033 \m Gizzi21 </w:instrText>
            <w:fldChar w:fldCharType="separate"/>
          </w:r>
          <w:r>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instrText xml:space="preserve"> CITATION Xie24 \l 1033 </w:instrText>
            <w:fldChar w:fldCharType="separate"/>
          </w:r>
          <w:r>
            <w:rPr>
              <w:noProof/>
            </w:rPr>
            <w:t>[31]</w:t>
          </w:r>
          <w:r>
            <w:fldChar w:fldCharType="end"/>
          </w:r>
        </w:sdtContent>
      </w:sdt>
      <w:r>
        <w:t xml:space="preserve">. GODA combines closed-layer tuning and open-layer generation under a satisficing acceptance rule </w:t>
      </w:r>
      <w:sdt>
        <w:sdtPr>
          <w:id w:val="-1260212028"/>
          <w:citation/>
        </w:sdtPr>
        <w:sdtEndPr/>
        <w:sdtContent>
          <w:r>
            <w:fldChar w:fldCharType="begin"/>
            <w:instrText xml:space="preserve"> CITATION Simon56 \l 1033 </w:instrText>
            <w:fldChar w:fldCharType="separate"/>
          </w:r>
          <w:r>
            <w:rPr>
              <w:noProof/>
            </w:rPr>
            <w:t>[32]</w:t>
          </w:r>
          <w:r>
            <w:fldChar w:fldCharType="end"/>
          </w:r>
        </w:sdtContent>
      </w:sdt>
      <w:r>
        <w:t xml:space="preserve">, keeping the evaluator independent of the proposer. The division of labor follows LLM-Modulo planning </w:t>
      </w:r>
      <w:sdt>
        <w:sdtPr>
          <w:id w:val="-526889683"/>
          <w:citation/>
        </w:sdtPr>
        <w:sdtEndPr/>
        <w:sdtContent>
          <w:r>
            <w:fldChar w:fldCharType="begin"/>
            <w:instrText xml:space="preserve"> CITATION Kambhampati24 \l 1033 </w:instrText>
            <w:fldChar w:fldCharType="separate"/>
          </w:r>
          <w:r>
            <w:rPr>
              <w:noProof/>
            </w:rPr>
            <w:t>[33]</w:t>
          </w:r>
          <w:r>
            <w:fldChar w:fldCharType="end"/>
          </w:r>
        </w:sdtContent>
      </w:sdt>
      <w:r>
        <w:t xml:space="preserve"> and LLM-guided evolutionary search </w:t>
      </w:r>
      <w:sdt>
        <w:sdtPr>
          <w:id w:val="-894616777"/>
          <w:citation/>
        </w:sdtPr>
        <w:sdtEndPr/>
        <w:sdtContent>
          <w:r>
            <w:fldChar w:fldCharType="begin"/>
            <w:instrText xml:space="preserve"> CITATION Liu24 \l 1033 </w:instrText>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instrText xml:space="preserve"> CITATION Cordon04 \l 1033 </w:instrText>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instrText xml:space="preserve"> CITATION Haksar18 \l 1033 </w:instrText>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instrText xml:space="preserve"> CITATION Ntaimo12 \l 1033 \m Haight07 </w:instrText>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instrText xml:space="preserve"> CITATION Belval15 \l 1033 </w:instrText>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instrText xml:space="preserve"> CITATION Dubey25 \l 1033 </w:instrText>
            <w:fldChar w:fldCharType="separate"/>
          </w:r>
          <w:r>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instrText xml:space="preserve"> CITATION Chandra25 \l 1033 </w:instrText>
            <w:fldChar w:fldCharType="separate"/>
          </w:r>
          <w:r>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instrText xml:space="preserve"> CITATION Cheng26 \l 1033 </w:instrText>
            <w:fldChar w:fldCharType="separate"/>
          </w:r>
          <w:r>
            <w:rPr>
              <w:noProof/>
            </w:rPr>
            <w:t>[42]</w:t>
          </w:r>
          <w:r>
            <w:fldChar w:fldCharType="end"/>
          </w:r>
        </w:sdtContent>
      </w:sdt>
      <w:r>
        <w:t xml:space="preserve"> weight fixed indicators with LLMs. Gerolimos et al. </w:t>
      </w:r>
      <w:sdt>
        <w:sdtPr>
          <w:id w:val="-1979979959"/>
          <w:citation/>
        </w:sdtPr>
        <w:sdtEndPr/>
        <w:sdtContent>
          <w:r>
            <w:fldChar w:fldCharType="begin"/>
            <w:instrText xml:space="preserve">CITATION Gerolimos25 \l 1033 </w:instrText>
            <w:fldChar w:fldCharType="separate"/>
          </w:r>
          <w:r>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instrText xml:space="preserve"> CITATION Sandeep26 \l 1033 </w:instrText>
            <w:fldChar w:fldCharType="separate"/>
          </w:r>
          <w:r>
            <w:rPr>
              <w:noProof/>
            </w:rPr>
            <w:t>[44]</w:t>
          </w:r>
          <w:r>
            <w:fldChar w:fldCharType="end"/>
          </w:r>
        </w:sdtContent>
      </w:sdt>
      <w:r>
        <w:t xml:space="preserve">. Cui et al. </w:t>
      </w:r>
      <w:sdt>
        <w:sdtPr>
          <w:id w:val="-1979979957"/>
          <w:citation/>
        </w:sdtPr>
        <w:sdtEndPr/>
        <w:sdtContent>
          <w:r>
            <w:fldChar w:fldCharType="begin"/>
            <w:instrText xml:space="preserve"> CITATION Cui26 \l 1033 </w:instrText>
            <w:fldChar w:fldCharType="separate"/>
          </w:r>
          <w:r>
            <w:rPr>
              <w:noProof/>
            </w:rPr>
            <w:t>[45]</w:t>
          </w:r>
          <w:r>
            <w:fldChar w:fldCharType="end"/>
          </w:r>
        </w:sdtContent>
      </w:sdt>
      <w:r>
        <w:t xml:space="preserve"> propose physics-based simulation checks but retain fixed tools. WildfireKR </w:t>
      </w:r>
      <w:sdt>
        <w:sdtPr>
          <w:id w:val="-1979979956"/>
          <w:citation/>
        </w:sdtPr>
        <w:sdtEndPr/>
        <w:sdtContent>
          <w:r>
            <w:fldChar w:fldCharType="begin"/>
            <w:instrText xml:space="preserve"> CITATION Park26 \l 1033 </w:instrText>
            <w:fldChar w:fldCharType="separate"/>
          </w:r>
          <w:r>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instrText xml:space="preserve"> CITATION Romera24 \l 1033 </w:instrText>
            <w:fldChar w:fldCharType="separate"/>
          </w:r>
          <w:r>
            <w:rPr>
              <w:noProof/>
            </w:rPr>
            <w:t>[47]</w:t>
          </w:r>
          <w:r>
            <w:fldChar w:fldCharType="end"/>
          </w:r>
        </w:sdtContent>
      </w:sdt>
      <w:r>
        <w:t xml:space="preserve"> scores programs, Eureka </w:t>
      </w:r>
      <w:sdt>
        <w:sdtPr>
          <w:id w:val="-1500000042"/>
          <w:citation/>
        </w:sdtPr>
        <w:sdtEndPr/>
        <w:sdtContent>
          <w:r>
            <w:fldChar w:fldCharType="begin"/>
            <w:instrText xml:space="preserve"> CITATION Ma24 \l 1033 </w:instrText>
            <w:fldChar w:fldCharType="separate"/>
          </w:r>
          <w:r>
            <w:rPr>
              <w:noProof/>
            </w:rPr>
            <w:t>[48]</w:t>
          </w:r>
          <w:r>
            <w:fldChar w:fldCharType="end"/>
          </w:r>
        </w:sdtContent>
      </w:sdt>
      <w:r>
        <w:t xml:space="preserve"> scores reward functions through simulated training, and SayCan </w:t>
      </w:r>
      <w:sdt>
        <w:sdtPr>
          <w:id w:val="-1500000043"/>
          <w:citation/>
        </w:sdtPr>
        <w:sdtEndPr/>
        <w:sdtContent>
          <w:r>
            <w:fldChar w:fldCharType="begin"/>
            <w:instrText xml:space="preserve"> CITATION Ahn22 \l 1033 </w:instrText>
            <w:fldChar w:fldCharType="separate"/>
          </w:r>
          <w:r>
            <w:rPr>
              <w:noProof/>
            </w:rPr>
            <w:t>[49]</w:t>
          </w:r>
          <w:r>
            <w:fldChar w:fldCharType="end"/>
          </w:r>
        </w:sdtContent>
      </w:sdt>
      <w:r>
        <w:t xml:space="preserve"> grounds steps in learned affordances. Voyager </w:t>
      </w:r>
      <w:sdt>
        <w:sdtPr>
          <w:id w:val="299"/>
          <w:citation/>
        </w:sdtPr>
        <w:sdtEndPr/>
        <w:sdtContent>
          <w:r>
            <w:fldChar w:fldCharType="begin"/>
            <w:instrText xml:space="preserve"> CITATION Wang23Voyager \l 1033 </w:instrText>
            <w:fldChar w:fldCharType="separate"/>
          </w:r>
          <w:r>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t>. System Architecture</w:t>
      </w:r>
    </w:p>
    <w:p w14:paraId="12722968" w14:textId="77777777" w:rsidR="00C63C9D" w:rsidRDefault="002221CD" w:rsidP="00AD5871">
      <w:pPr>
        <w:pStyle w:val="Heading2"/>
      </w:pPr>
      <w:bookmarkStart w:id="9" w:name="_RefSec_III_A"/>
      <w:r>
        <w:rPr>
          <w:noProof/>
        </w:rPr>
        <w:t>A</w:t>
      </w:r>
      <w:bookmarkEnd w:id="9"/>
      <w:r>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instrText xml:space="preserve"> SEQ Fig. \* ARABIC </w:instrText>
                                <w:fldChar w:fldCharType="separate"/>
                                <w:t>1</w:t>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instrText xml:space="preserve"> SEQ Fig. \* ARABIC </w:instrText>
                          <w:fldChar w:fldCharType="separate"/>
                          <w:t>1</w:t>
                          <w:fldChar w:fldCharType="end"/>
                        </w:r>
                        <w:bookmarkEnd w:id="11"/>
                        <w:r>
                          <w:t>. The system architecture.</w:t>
                        </w:r>
                      </w:p>
                    </w:txbxContent>
                  </v:textbox>
                </v:shape>
                <w10:wrap type="square" anchorx="margin" anchory="margin"/>
              </v:group>
            </w:pict>
          </mc:Fallback>
        </mc:AlternateContent>
      </w:r>
      <w:r>
        <w:fldChar w:fldCharType="begin"/>
        <w:instrText xml:space="preserve"> REF _RefFig1 \h \* CHARFORMAT </w:instrText>
        <w:fldChar w:fldCharType="separate"/>
        <w:t>Fig. 1</w:t>
        <w:fldChar w:fldCharType="end"/>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fldChar w:fldCharType="begin"/>
        <w:instrText xml:space="preserve"> REF _RefEqN_fin \h \* CHARFORMAT </w:instrText>
        <w:fldChar w:fldCharType="separate"/>
        <w:t>1</w:t>
        <w:fldChar w:fldCharType="end"/>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instrText xml:space="preserve"> SEQ Equation \* ARABIC </w:instrText>
              <w:fldChar w:fldCharType="separate"/>
            </w:r>
            <w:r>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instrText xml:space="preserve"> CITATION ScottBurgan05 \l 1033 </w:instrText>
            <w:fldChar w:fldCharType="separate"/>
          </w:r>
          <w:r>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instrText xml:space="preserve"> SEQ Equation \* ARABIC </w:instrText>
              <w:fldChar w:fldCharType="separate"/>
            </w:r>
            <w:r>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fldChar w:fldCharType="begin"/>
        <w:instrText xml:space="preserve"> REF _RefEqN_loop \h \* CHARFORMAT </w:instrText>
        <w:fldChar w:fldCharType="separate"/>
        <w:t>2</w:t>
        <w:fldChar w:fldCharType="end"/>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The decision core never reads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both layers act only 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The closed layer reasons over the features of Section IV-A, and the open layer initializes its shadow forecasts, run on the decision core’s own copy of the hazard model, the shadow core, from the cell state in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fldChar w:fldCharType="begin"/>
        <w:instrText xml:space="preserve"> REF _RefSec_V \h \* CHARFORMAT </w:instrText>
        <w:fldChar w:fldCharType="separate"/>
        <w:t>V</w:t>
        <w:fldChar w:fldCharType="end"/>
        <w:t>.</w:t>
      </w:r>
    </w:p>
    <w:p w14:paraId="3B260BB8" w14:textId="77777777" w:rsidR="00A3331E" w:rsidRDefault="002221CD">
      <w:pPr>
        <w:pStyle w:val="Heading2"/>
      </w:pPr>
      <w:bookmarkStart w:id="14" w:name="_RefSec_III_B"/>
      <w:r>
        <w:rPr>
          <w:noProof/>
        </w:rPr>
        <w:t>B</w:t>
      </w:r>
      <w:bookmarkEnd w:id="14"/>
      <w:r>
        <w:t>. State, Transition, and Spread</w:t>
      </w:r>
    </w:p>
    <w:p w14:paraId="3D9C54E8" w14:textId="77777777" w:rsidR="00096354" w:rsidRDefault="00D31F60">
      <w:pPr>
        <w:pStyle w:val="Text"/>
      </w:pPr>
      <w:r>
        <w:t>Each cell state in (</w:t>
        <w:fldChar w:fldCharType="begin"/>
        <w:instrText xml:space="preserve"> REF _RefEqN_state \h \* CHARFORMAT </w:instrText>
        <w:fldChar w:fldCharType="separate"/>
        <w:t>3</w:t>
        <w:fldChar w:fldCharType="end"/>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fldChar w:fldCharType="begin"/>
        <w:instrText xml:space="preserve"> REF _RefEqN_burn \h \* CHARFORMAT </w:instrText>
        <w:fldChar w:fldCharType="separate"/>
        <w:t>4</w:t>
        <w:fldChar w:fldCharType="end"/>
        <w:t>) to (</w:t>
        <w:fldChar w:fldCharType="begin"/>
        <w:instrText xml:space="preserve"> REF _RefEqN_tau \h \* CHARFORMAT </w:instrText>
        <w:fldChar w:fldCharType="separate"/>
        <w:t>6</w:t>
        <w:fldChar w:fldCharType="end"/>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instrText xml:space="preserve"> SEQ Equation \* ARABIC </w:instrText>
              <w:fldChar w:fldCharType="separate"/>
            </w:r>
            <w:r>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fldChar w:fldCharType="begin"/>
        <w:instrText xml:space="preserve"> REF _RefEqN_burn \h \* CHARFORMAT </w:instrText>
        <w:fldChar w:fldCharType="separate"/>
        <w:t>4</w:t>
        <w:fldChar w:fldCharType="end"/>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instrText xml:space="preserve"> CITATION Rothermel72 \l 1033 </w:instrText>
            <w:fldChar w:fldCharType="separate"/>
          </w:r>
          <w:r>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fldChar w:fldCharType="begin"/>
        <w:instrText xml:space="preserve"> REF _RefEqN_psi \h \* CHARFORMAT </w:instrText>
        <w:fldChar w:fldCharType="separate"/>
        <w:t>7</w:t>
        <w:fldChar w:fldCharType="end"/>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instrText xml:space="preserve">CITATION Pais212 \l 1033 </w:instrText>
            <w:fldChar w:fldCharType="separate"/>
          </w:r>
          <w:r>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instrText xml:space="preserve"> SEQ Equation \* ARABIC </w:instrText>
              <w:fldChar w:fldCharType="separate"/>
            </w:r>
            <w:r>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fldChar w:fldCharType="begin"/>
        <w:instrText xml:space="preserve"> REF _RefEqN_fuel \h \* CHARFORMAT </w:instrText>
        <w:fldChar w:fldCharType="separate"/>
        <w:t>5</w:t>
        <w:fldChar w:fldCharType="end"/>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instrText xml:space="preserve"> CITATION HirschMartell96 \l 1033 </w:instrText>
            <w:fldChar w:fldCharType="separate"/>
          </w:r>
          <w:r>
            <w:rPr>
              <w:noProof/>
            </w:rPr>
            <w:t>[52]</w:t>
          </w:r>
          <w:r>
            <w:fldChar w:fldCharType="end"/>
          </w:r>
        </w:sdtContent>
      </w:sdt>
      <w:r>
        <w:t xml:space="preserve">, including intensity and arrival-time effects confirmed by later reviews </w:t>
      </w:r>
      <w:sdt>
        <w:sdtPr>
          <w:id w:val="-1500000046"/>
          <w:citation/>
        </w:sdtPr>
        <w:sdtEndPr/>
        <w:sdtContent>
          <w:r>
            <w:fldChar w:fldCharType="begin"/>
            <w:instrText xml:space="preserve"> CITATION Plucinski19 \l 1033 </w:instrText>
            <w:fldChar w:fldCharType="separate"/>
          </w:r>
          <w:r>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instrText xml:space="preserve"> SEQ Equation \* ARABIC </w:instrText>
              <w:fldChar w:fldCharType="separate"/>
            </w:r>
            <w:r>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after Byram </w:t>
      </w:r>
      <w:sdt>
        <w:sdtPr>
          <w:id w:val="-1979969895"/>
          <w:citation/>
        </w:sdtPr>
        <w:sdtEndPr/>
        <w:sdtContent>
          <w:r>
            <w:fldChar w:fldCharType="begin"/>
            <w:instrText xml:space="preserve"> CITATION Byram59 \l 1033 </w:instrText>
            <w:fldChar w:fldCharType="separate"/>
          </w:r>
          <w:r>
            <w:rPr>
              <w:noProof/>
            </w:rPr>
            <w:t>[54]</w:t>
          </w:r>
          <w:r>
            <w:fldChar w:fldCharType="end"/>
          </w:r>
        </w:sdtContent>
      </w:sdt>
      <w:r>
        <w:t xml:space="preserve">, parameterized in </w:t>
      </w:r>
      <w:sdt>
        <w:sdtPr>
          <w:id w:val="-1979969894"/>
          <w:citation/>
        </w:sdtPr>
        <w:sdtEndPr/>
        <w:sdtContent>
          <w:r>
            <w:fldChar w:fldCharType="begin"/>
            <w:instrText xml:space="preserve"> CITATION Rothermel72 \l 1033 </w:instrText>
            <w:fldChar w:fldCharType="separate"/>
          </w:r>
          <w:r>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fldChar w:fldCharType="begin"/>
        <w:instrText xml:space="preserve"> REF _RefEqN_tau \h \* CHARFORMAT </w:instrText>
        <w:fldChar w:fldCharType="separate"/>
        <w:t>6</w:t>
        <w:fldChar w:fldCharType="end"/>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instrText xml:space="preserve"> SEQ Equation \* ARABIC </w:instrText>
              <w:fldChar w:fldCharType="separate"/>
            </w:r>
            <w:r>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fldChar w:fldCharType="begin"/>
        <w:instrText xml:space="preserve"> REF _RefEqN_psi \h \* CHARFORMAT </w:instrText>
        <w:fldChar w:fldCharType="separate"/>
        <w:t>7</w:t>
        <w:fldChar w:fldCharType="end"/>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fldChar w:fldCharType="begin"/>
        <w:instrText xml:space="preserve"> REF _RefSec_V \h \* CHARFORMAT </w:instrText>
        <w:fldChar w:fldCharType="separate"/>
        <w:t>V</w:t>
        <w:fldChar w:fldCharType="end"/>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fldChar w:fldCharType="begin"/>
        <w:instrText xml:space="preserve"> REF _RefEqN_ros \h \* CHARFORMAT </w:instrText>
        <w:fldChar w:fldCharType="separate"/>
        <w:t>8</w:t>
        <w:fldChar w:fldCharType="end"/>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instrText xml:space="preserve"> CITATION Rothermel72 \l 1033 </w:instrText>
            <w:fldChar w:fldCharType="separate"/>
          </w:r>
          <w:r>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instrText xml:space="preserve"> SEQ Equation \* ARABIC </w:instrText>
              <w:fldChar w:fldCharType="separate"/>
            </w:r>
            <w:r>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instrText xml:space="preserve"> SEQ Equation \* ARABIC </w:instrText>
              <w:fldChar w:fldCharType="separate"/>
            </w:r>
            <w:r>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w:t>
        <w:fldChar w:fldCharType="begin"/>
        <w:instrText xml:space="preserve"> REF _RefSec_IV_E \h \* CHARFORMAT </w:instrText>
        <w:fldChar w:fldCharType="separate"/>
        <w:t>E</w:t>
        <w:fldChar w:fldCharType="end"/>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fldChar w:fldCharType="begin"/>
        <w:instrText xml:space="preserve"> REF _RefEqN_feat \h \* CHARFORMAT </w:instrText>
        <w:fldChar w:fldCharType="separate"/>
        <w:t>9</w:t>
        <w:fldChar w:fldCharType="end"/>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fldChar w:fldCharType="begin"/>
        <w:instrText xml:space="preserve"> REF _RefEqN_conf \h \* CHARFORMAT </w:instrText>
        <w:fldChar w:fldCharType="separate"/>
        <w:t>10</w:t>
        <w:fldChar w:fldCharType="end"/>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fldChar w:fldCharType="begin"/>
        <w:instrText xml:space="preserve"> REF _RefEqN_feat \h \* CHARFORMAT </w:instrText>
        <w:fldChar w:fldCharType="separate"/>
        <w:t>9</w:t>
        <w:fldChar w:fldCharType="end"/>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fldChar w:fldCharType="begin"/>
        <w:instrText xml:space="preserve"> REF _RefEqN_conf \h \* CHARFORMAT </w:instrText>
        <w:fldChar w:fldCharType="separate"/>
        <w:t>10</w:t>
        <w:fldChar w:fldCharType="end"/>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instrText xml:space="preserve"> SEQ Equation \* ARABIC </w:instrText>
              <w:fldChar w:fldCharType="separate"/>
            </w:r>
            <w:r>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instrText xml:space="preserve"> SEQ Equation \* ARABIC </w:instrText>
              <w:fldChar w:fldCharType="separate"/>
            </w:r>
            <w:r>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instrText xml:space="preserve"> SEQ Fig. \* ARABIC </w:instrText>
                                <w:fldChar w:fldCharType="separate"/>
                                <w:t>2</w:t>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instrText xml:space="preserve"> SEQ Fig. \* ARABIC </w:instrText>
                          <w:fldChar w:fldCharType="separate"/>
                          <w:t>2</w:t>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fldChar w:fldCharType="begin"/>
        <w:instrText xml:space="preserve"> REF _RefFig2 \h \* CHARFORMAT </w:instrText>
        <w:fldChar w:fldCharType="separate"/>
        <w:t>Fig. 2</w:t>
        <w:fldChar w:fldCharType="end"/>
        <w:t xml:space="preserve"> shows how observations reach the concept space. The five decision concepts feed the rule base; suppression feasibility also gates the quality test in (</w:t>
        <w:fldChar w:fldCharType="begin"/>
        <w:instrText xml:space="preserve"> REF _RefEqN_sat \h \* CHARFORMAT </w:instrText>
        <w:fldChar w:fldCharType="separate"/>
        <w:t>15</w:t>
        <w:fldChar w:fldCharType="end"/>
        <w:t>), and operational priority feeds the coordinator in (</w:t>
        <w:fldChar w:fldCharType="begin"/>
        <w:instrText xml:space="preserve"> REF _RefEqN_share \h \* CHARFORMAT </w:instrText>
        <w:fldChar w:fldCharType="separate"/>
        <w:t>20</w:t>
        <w:fldChar w:fldCharType="end"/>
        <w:t>). Each feature is fuzzified over a five-term partition of unity.</w:t>
      </w:r>
    </w:p>
    <w:p w14:paraId="7035D480" w14:textId="77777777" w:rsidR="00C63C9D" w:rsidRDefault="00A436DD">
      <w:pPr>
        <w:pStyle w:val="Text"/>
      </w:pPr>
      <w:r>
        <w:t>The hierarchy in (</w:t>
        <w:fldChar w:fldCharType="begin"/>
        <w:instrText xml:space="preserve"> REF _RefEqN_sets \h \* CHARFORMAT </w:instrText>
        <w:fldChar w:fldCharType="separate"/>
        <w:t>11</w:t>
        <w:fldChar w:fldCharType="end"/>
        <w:t>) maps features to 6 base concepts, then to 5 decision concepts on two levels, and finally to one coordination concept. Each activation first takes a weighted sum of its inputs, then blends this observed value with its decayed previous value according to confidence (</w:t>
        <w:fldChar w:fldCharType="begin"/>
        <w:instrText xml:space="preserve"> REF _RefEqN_agg \h \* CHARFORMAT </w:instrText>
        <w:fldChar w:fldCharType="separate"/>
        <w:t>12</w:t>
        <w:fldChar w:fldCharType="end"/>
        <w:t>). Missing observations therefore cause a gradual loss of support. Decay lowers every term membership, including the low terms, and weakens the rules that read them. The crisp reading in (</w:t>
        <w:fldChar w:fldCharType="begin"/>
        <w:instrText xml:space="preserve"> REF _RefEqN_rule \h \* CHARFORMAT </w:instrText>
        <w:fldChar w:fldCharType="separate"/>
        <w:t>13</w:t>
        <w:fldChar w:fldCharType="end"/>
        <w:t>), used by (</w:t>
        <w:fldChar w:fldCharType="begin"/>
        <w:instrText xml:space="preserve"> REF _RefEqN_sat \h \* CHARFORMAT </w:instrText>
        <w:fldChar w:fldCharType="separate"/>
        <w:t>15</w:t>
        <w:fldChar w:fldCharType="end"/>
        <w:t>), (</w:t>
        <w:fldChar w:fldCharType="begin"/>
        <w:instrText xml:space="preserve"> REF _RefEqN_adapt \h \* CHARFORMAT </w:instrText>
        <w:fldChar w:fldCharType="separate"/>
        <w:t>16</w:t>
        <w:fldChar w:fldCharType="end"/>
        <w:t xml:space="preserve">), and the coordinator, also falls with decay. Section </w:t>
        <w:fldChar w:fldCharType="begin"/>
        <w:instrText xml:space="preserve"> REF _RefSec_V \h \* CHARFORMAT </w:instrText>
        <w:fldChar w:fldCharType="separate"/>
        <w:t>V</w:t>
        <w:fldChar w:fldCharType="end"/>
        <w:t>-</w:t>
        <w:fldChar w:fldCharType="begin"/>
        <w:instrText xml:space="preserve"> REF _RefSecNum_V_C \h \* CHARFORMAT </w:instrText>
        <w:fldChar w:fldCharType="separate"/>
        <w:t>C</w:t>
        <w:fldChar w:fldCharType="end"/>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instrText xml:space="preserve"> SEQ Equation \* ARABIC </w:instrText>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instrText xml:space="preserve"> SEQ Equation \* ARABIC </w:instrText>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fldChar w:fldCharType="begin"/>
        <w:instrText xml:space="preserve"> REF _RefEqN_sets \h \* CHARFORMAT </w:instrText>
        <w:fldChar w:fldCharType="separate"/>
        <w:t>11</w:t>
        <w:fldChar w:fldCharType="en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fldChar w:fldCharType="begin"/>
        <w:instrText xml:space="preserve"> REF _RefEqN_agg \h \* CHARFORMAT </w:instrText>
        <w:fldChar w:fldCharType="separate"/>
        <w:t>12</w:t>
        <w:fldChar w:fldCharType="end"/>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t>. The Closed Decision Layer</w:t>
      </w:r>
    </w:p>
    <w:p w14:paraId="06760020" w14:textId="77777777" w:rsidR="003949BC" w:rsidRDefault="00D31F60">
      <w:pPr>
        <w:pStyle w:val="Text"/>
      </w:pPr>
      <w:r>
        <w:fldChar w:fldCharType="begin"/>
        <w:instrText xml:space="preserve"> REF _RefFig3 \h \* CHARFORMAT </w:instrText>
        <w:fldChar w:fldCharType="separate"/>
        <w:t>Fig. 3</w:t>
        <w:fldChar w:fldCharType="end"/>
        <w:t xml:space="preserve"> shows the closed layer. Each TS rule in (</w:t>
        <w:fldChar w:fldCharType="begin"/>
        <w:instrText xml:space="preserve"> REF _RefEqN_rule \h \* CHARFORMAT </w:instrText>
        <w:fldChar w:fldCharType="separate"/>
        <w:t>13</w:t>
        <w:fldChar w:fldCharType="end"/>
        <w:t xml:space="preserve">) uses the five decision concepts and a constant consequent over six intervention families </w:t>
      </w:r>
      <m:oMath>
        <m:r>
          <w:rPr>
            <w:rFonts w:ascii="Cambria Math" w:hAnsi="Cambria Math"/>
          </w:rPr>
          <m:t>M</m:t>
        </m:r>
      </m:oMath>
      <w:r>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instrText xml:space="preserve"> SEQ Equation \* ARABIC </w:instrText>
              <w:fldChar w:fldCharType="separate"/>
            </w:r>
            <w:r>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fldChar w:fldCharType="begin"/>
        <w:instrText xml:space="preserve"> REF _RefEqN_rule \h \* CHARFORMAT </w:instrText>
        <w:fldChar w:fldCharType="separate"/>
        <w:t>13</w:t>
        <w:fldChar w:fldCharType="end"/>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fldChar w:fldCharType="begin"/>
        <w:instrText xml:space="preserve"> REF _RefTab_seed \h \* CHARFORMAT </w:instrText>
        <w:fldChar w:fldCharType="separate"/>
        <w:t>Table I</w:t>
        <w:fldChar w:fldCharType="end"/>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fldChar w:fldCharType="begin"/>
        <w:instrText xml:space="preserve"> REF _RefEqN_sat \h \* CHARFORMAT </w:instrText>
        <w:fldChar w:fldCharType="separate"/>
        <w:t>15</w:t>
        <w:fldChar w:fldCharType="end"/>
        <w:t xml:space="preserve">) applies when quality falls below η, and adaptation in (</w:t>
        <w:fldChar w:fldCharType="begin"/>
        <w:instrText xml:space="preserve"> REF _RefEqN_adapt \h \* CHARFORMAT </w:instrText>
        <w:fldChar w:fldCharType="separate"/>
        <w:t>16</w:t>
        <w:fldChar w:fldCharType="end"/>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instrText xml:space="preserve"> SEQ Table \* ROMAN </w:instrText>
        <w:fldChar w:fldCharType="separate"/>
        <w:t>I</w:t>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instrText xml:space="preserve"> SEQ Fig. \* ARABIC </w:instrText>
                                <w:fldChar w:fldCharType="separate"/>
                                <w:t>3</w:t>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instrText xml:space="preserve"> SEQ Fig. \* ARABIC </w:instrText>
                          <w:fldChar w:fldCharType="separate"/>
                          <w:t>3</w:t>
                          <w:fldChar w:fldCharType="end"/>
                        </w:r>
                        <w:bookmarkEnd w:id="36"/>
                        <w:r>
                          <w:t>. Decision layer 1, the closed decision space.</w:t>
                        </w:r>
                      </w:p>
                    </w:txbxContent>
                  </v:textbox>
                </v:shape>
                <w10:wrap type="square" anchorx="margin" anchory="margin"/>
              </v:group>
            </w:pict>
          </mc:Fallback>
        </mc:AlternateContent>
      </w:r>
      <w:r>
        <w:t xml:space="preserve">Every candidate is evaluated by shadow forecast. The decision cost in (</w:t>
        <w:fldChar w:fldCharType="begin"/>
        <w:instrText xml:space="preserve"> REF _RefEqN_cost \h \* CHARFORMAT </w:instrText>
        <w:fldChar w:fldCharType="separate"/>
        <w:t>14</w:t>
        <w:fldChar w:fldCharType="end"/>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instrText xml:space="preserve"> SEQ Equation \* ARABIC </w:instrText>
              <w:fldChar w:fldCharType="separate"/>
            </w:r>
            <w:r>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fldChar w:fldCharType="begin"/>
        <w:instrText xml:space="preserve"> REF _RefEqN_sat \h \* CHARFORMAT </w:instrText>
        <w:fldChar w:fldCharType="separate"/>
        <w:t>15</w:t>
        <w:fldChar w:fldCharType="end"/>
        <w:t>) requires forecast cost to remain below a ceiling and improve on inaction by a margin. The quality test in (</w:t>
        <w:fldChar w:fldCharType="begin"/>
        <w:instrText xml:space="preserve"> REF _RefEqN_sat \h \* CHARFORMAT </w:instrText>
        <w:fldChar w:fldCharType="separate"/>
        <w:t>15</w:t>
        <w:fldChar w:fldCharType="end"/>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instrText xml:space="preserve"> SEQ Equation \* ARABIC </w:instrText>
              <w:fldChar w:fldCharType="separate"/>
            </w:r>
            <w:r>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fldChar w:fldCharType="begin"/>
        <w:instrText xml:space="preserve"> REF _RefEqN_cost \h \* CHARFORMAT </w:instrText>
        <w:fldChar w:fldCharType="separate"/>
        <w:t>14</w:t>
        <w:fldChar w:fldCharType="end"/>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fldChar w:fldCharType="begin"/>
        <w:instrText xml:space="preserve"> REF _RefEqN_sat \h \* CHARFORMAT </w:instrText>
        <w:fldChar w:fldCharType="separate"/>
        <w:t>15</w:t>
        <w:fldChar w:fldCharType="end"/>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fldChar w:fldCharType="begin"/>
        <w:instrText xml:space="preserve"> REF _RefEqN_adapt \h \* CHARFORMAT </w:instrText>
        <w:fldChar w:fldCharType="separate"/>
        <w:t>16</w:t>
        <w:fldChar w:fldCharType="end"/>
        <w:t xml:space="preserve">), following evolving fuzzy models </w:t>
      </w:r>
      <w:sdt>
        <w:sdtPr>
          <w:id w:val="1048"/>
          <w:citation/>
        </w:sdtPr>
        <w:sdtEndPr/>
        <w:sdtContent>
          <w:r>
            <w:fldChar w:fldCharType="begin"/>
            <w:instrText xml:space="preserve"> CITATION Angelov04 \l 1033 </w:instrText>
            <w:fldChar w:fldCharType="separate"/>
          </w:r>
          <w:r>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instrText xml:space="preserve"> SEQ Equation \* ARABIC </w:instrText>
              <w:fldChar w:fldCharType="separate"/>
            </w:r>
            <w:r>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fldChar w:fldCharType="begin"/>
        <w:instrText xml:space="preserve"> REF _RefEqN_adapt \h \* CHARFORMAT </w:instrText>
        <w:fldChar w:fldCharType="separate"/>
        <w:t>16</w:t>
        <w:fldChar w:fldCharType="end"/>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t>. The Open Decision Layer</w:t>
      </w:r>
    </w:p>
    <w:p w14:paraId="3A0ADA20" w14:textId="6AECF8F5" w:rsidR="00F30F81" w:rsidRDefault="00D31F60">
      <w:pPr>
        <w:pStyle w:val="Text"/>
        <w:rPr>
          <w:sz w:val="12"/>
          <w:szCs w:val="12"/>
        </w:rPr>
      </w:pPr>
      <w:r>
        <w:fldChar w:fldCharType="begin"/>
        <w:instrText xml:space="preserve"> REF _RefFig4 \h \* CHARFORMAT </w:instrText>
        <w:fldChar w:fldCharType="separate"/>
        <w:t>Fig. 4</w:t>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instrText xml:space="preserve"> REF _RefEqN_adapt \h \* CHARFORMAT </w:instrText>
        <w:fldChar w:fldCharType="separate"/>
        <w:t>16</w:t>
        <w:fldChar w:fldCharType="end"/>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fldChar w:fldCharType="begin"/>
        <w:instrText xml:space="preserve"> REF _RefEqN_object \h \* CHARFORMAT </w:instrText>
        <w:fldChar w:fldCharType="separate"/>
        <w:t>17</w:t>
        <w:fldChar w:fldCharType="end"/>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fldChar w:fldCharType="begin"/>
        <w:instrText xml:space="preserve"> REF _RefEqN_object \h \* CHARFORMAT </w:instrText>
        <w:fldChar w:fldCharType="separate"/>
        <w:t>17</w:t>
        <w:fldChar w:fldCharType="end"/>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instrText xml:space="preserve"> SEQ Fig. \* ARABIC </w:instrText>
                                <w:fldChar w:fldCharType="separate"/>
                                <w:t>4</w:t>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instrText xml:space="preserve"> SEQ Fig. \* ARABIC </w:instrText>
                          <w:fldChar w:fldCharType="separate"/>
                          <w:t>4</w:t>
                          <w:fldChar w:fldCharType="end"/>
                        </w:r>
                        <w:bookmarkEnd w:id="42"/>
                        <w:r>
                          <w:t>. Decision layer 2, the open decision space.</w:t>
                        </w:r>
                      </w:p>
                    </w:txbxContent>
                  </v:textbox>
                </v:shape>
                <w10:wrap type="square" anchorx="margin" anchory="margin"/>
              </v:group>
            </w:pict>
          </mc:Fallback>
        </mc:AlternateContent>
      </w:r>
      <w:r>
        <w:t>Each candidate in (</w:t>
        <w:fldChar w:fldCharType="begin"/>
        <w:instrText xml:space="preserve"> REF _RefEqN_object \h \* CHARFORMAT </w:instrText>
        <w:fldChar w:fldCharType="separate"/>
        <w:t>17</w:t>
        <w:fldChar w:fldCharType="end"/>
        <w:t>) uses the campaign's fixed vocabulary of five decision concepts, six families, and seven effects. It may be a rule of (</w:t>
        <w:fldChar w:fldCharType="begin"/>
        <w:instrText xml:space="preserve"> REF _RefEqN_rule \h \* CHARFORMAT </w:instrText>
        <w:fldChar w:fldCharType="separate"/>
        <w:t>13</w:t>
        <w:fldChar w:fldCharType="end"/>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fldChar w:fldCharType="begin"/>
        <w:instrText xml:space="preserve"> REF _RefEqN_rule \h \* CHARFORMAT </w:instrText>
        <w:fldChar w:fldCharType="separate"/>
        <w:t>13</w:t>
        <w:fldChar w:fldCharType="end"/>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fldChar w:fldCharType="begin"/>
        <w:instrText xml:space="preserve"> REF _RefEqN_rule \h \* CHARFORMAT </w:instrText>
        <w:fldChar w:fldCharType="separate"/>
        <w:t>13</w:t>
        <w:fldChar w:fldCharType="end"/>
        <w:t xml:space="preserve">) attenuates commands with support below one. 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instrText xml:space="preserve"> SEQ Equation \* ARABIC </w:instrText>
              <w:fldChar w:fldCharType="separate"/>
            </w:r>
            <w:r>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fldChar w:fldCharType="begin"/>
        <w:instrText xml:space="preserve"> REF _RefEqN_resolve \h \* CHARFORMAT </w:instrText>
        <w:fldChar w:fldCharType="separate"/>
        <w:t>18</w:t>
        <w:fldChar w:fldCharType="end"/>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instrText xml:space="preserve"> SEQ Equation \* ARABIC </w:instrText>
              <w:fldChar w:fldCharType="separate"/>
            </w:r>
            <w:r>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fldChar w:fldCharType="begin"/>
        <w:instrText xml:space="preserve"> REF _RefEqN_gates \h \* CHARFORMAT </w:instrText>
        <w:fldChar w:fldCharType="separate"/>
        <w:t>19</w:t>
        <w:fldChar w:fldCharType="end"/>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In (</w:t>
        <w:fldChar w:fldCharType="begin"/>
        <w:instrText xml:space="preserve"> REF _RefEqN_gates \h \* CHARFORMAT </w:instrText>
        <w:fldChar w:fldCharType="separate"/>
        <w:t>19</w:t>
        <w:fldChar w:fldCharType="end"/>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instrText xml:space="preserve"> SEQ Equation \* ARABIC </w:instrText>
              <w:fldChar w:fldCharType="separate"/>
            </w:r>
            <w:r>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fldChar w:fldCharType="begin"/>
        <w:instrText xml:space="preserve"> REF _RefEqN_gates \h \* CHARFORMAT </w:instrText>
        <w:fldChar w:fldCharType="separate"/>
        <w:t>19</w:t>
        <w:fldChar w:fldCharType="end"/>
        <w:t>) are applied to every candidate of a call. G1 to G4 cost no simulation. Candidates passing them receive one shadow forecast over the guard horizon on the first future, the forecast of G5; the call's 36-forecast budget covers candidates and local variations under grammar (</w:t>
        <w:fldChar w:fldCharType="begin"/>
        <w:instrText xml:space="preserve"> REF _RefEqN_object \h \* CHARFORMAT </w:instrText>
        <w:fldChar w:fldCharType="separate"/>
        <w:t>17</w:t>
        <w:fldChar w:fldCharType="end"/>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fldChar w:fldCharType="begin"/>
        <w:instrText xml:space="preserve"> REF _RefEqN_sat \h \* CHARFORMAT </w:instrText>
        <w:fldChar w:fldCharType="separate"/>
        <w:t>15</w:t>
        <w:fldChar w:fldCharType="end"/>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t>. Local Agents and Global Coordination</w:t>
      </w:r>
    </w:p>
    <w:p w14:paraId="4453D3CF" w14:textId="77777777" w:rsidR="0043376C" w:rsidRDefault="00D31F60" w:rsidP="007B7A52">
      <w:pPr>
        <w:pStyle w:val="Text"/>
      </w:pPr>
      <w:r>
        <w:fldChar w:fldCharType="begin"/>
        <w:instrText xml:space="preserve"> REF _RefAlgorithm1 \h \* CHARFORMAT </w:instrText>
        <w:fldChar w:fldCharType="separate"/>
        <w:t>Algorithm 1</w:t>
        <w:fldChar w:fldCharType="end"/>
        <w:t xml:space="preserve"> gives one decision cycle. The </w:t>
      </w:r>
      <m:oMath>
        <m:r>
          <w:rPr>
            <w:rFonts w:ascii="Cambria Math" w:hAnsi="Cambria Math"/>
          </w:rPr>
          <m:t>N</m:t>
        </m:r>
      </m:oMath>
      <w:r>
        <w:t xml:space="preserve"> agents share a rule base and run the closed layer (Section </w:t>
        <w:fldChar w:fldCharType="begin"/>
        <w:instrText xml:space="preserve"> REF _RefSec_IV \h \* CHARFORMAT </w:instrText>
        <w:fldChar w:fldCharType="separate"/>
        <w:t>IV</w:t>
        <w:fldChar w:fldCharType="end"/>
        <w:t>-</w:t>
        <w:fldChar w:fldCharType="begin"/>
        <w:instrText xml:space="preserve"> REF _RefSec_IV_C \h \* CHARFORMAT </w:instrText>
        <w:fldChar w:fldCharType="separate"/>
        <w:t>C</w:t>
        <w:fldChar w:fldCharType="end"/>
        <w:t xml:space="preserve">); the open layer (Section </w:t>
        <w:fldChar w:fldCharType="begin"/>
        <w:instrText xml:space="preserve"> REF _RefSec_IV \h \* CHARFORMAT </w:instrText>
        <w:fldChar w:fldCharType="separate"/>
        <w:t>IV</w:t>
        <w:fldChar w:fldCharType="end"/>
        <w:t>-</w:t>
        <w:fldChar w:fldCharType="begin"/>
        <w:instrText xml:space="preserve"> REF _RefSec_IV_D \h \* CHARFORMAT </w:instrText>
        <w:fldChar w:fldCharType="separate"/>
        <w:t>D</w:t>
        <w:fldChar w:fldCharType="end"/>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fldChar w:fldCharType="begin"/>
        <w:instrText xml:space="preserve"> REF _RefEqN_share \h \* CHARFORMAT </w:instrText>
        <w:fldChar w:fldCharType="separate"/>
        <w:t>20</w:t>
        <w:fldChar w:fldCharType="end"/>
        <w:t xml:space="preserve">) by priority, scaling suppression effort and resource deployment. Monitored regions face a stricter quality threshold. The coordinator bounds regional draws from G4’s funded pool. The merged field in (</w:t>
        <w:fldChar w:fldCharType="begin"/>
        <w:instrText xml:space="preserve"> REF _RefEqN_merge \h \* CHARFORMAT </w:instrText>
        <w:fldChar w:fldCharType="separate"/>
        <w:t>21</w:t>
        <w:fldChar w:fldCharType="end"/>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fldChar w:fldCharType="begin"/>
        <w:instrText xml:space="preserve"> REF _RefEqN_share \h \* CHARFORMAT </w:instrText>
        <w:fldChar w:fldCharType="separate"/>
        <w:t>20</w:t>
        <w:fldChar w:fldCharType="end"/>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fldChar w:fldCharType="begin"/>
        <w:instrText xml:space="preserve"> REF _RefEqN_merge \h \* CHARFORMAT </w:instrText>
        <w:fldChar w:fldCharType="separate"/>
        <w:t>21</w:t>
        <w:fldChar w:fldCharType="end"/>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instrText xml:space="preserve"> SEQ Equation \* ARABIC </w:instrText>
              <w:fldChar w:fldCharType="separate"/>
            </w:r>
            <w:r>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instrText xml:space="preserve"> SEQ Equation \* ARABIC </w:instrText>
              <w:fldChar w:fldCharType="separate"/>
            </w:r>
            <w:r>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fldChar w:fldCharType="begin"/>
              <w:instrText xml:space="preserve"> SEQ Algorithm \* ARABIC </w:instrText>
              <w:fldChar w:fldCharType="separate"/>
            </w:r>
            <w:r>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fldChar w:fldCharType="begin"/>
              <w:instrText xml:space="preserve"> REF _RefEqN_feat \h \* CHARFORMAT </w:instrText>
              <w:fldChar w:fldCharType="separate"/>
              <w:t>9</w:t>
              <w:fldChar w:fldCharType="end"/>
              <w:t>), (</w:t>
              <w:fldChar w:fldCharType="begin"/>
              <w:instrText xml:space="preserve"> REF _RefEqN_conf \h \* CHARFORMAT </w:instrText>
              <w:fldChar w:fldCharType="separate"/>
              <w:t>10</w:t>
              <w:fldChar w:fldCharType="end"/>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fldChar w:fldCharType="begin"/>
              <w:instrText xml:space="preserve"> REF _RefEqN_agg \h \* CHARFORMAT </w:instrText>
              <w:fldChar w:fldCharType="separate"/>
              <w:t>12</w:t>
              <w:fldChar w:fldCharType="end"/>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fldChar w:fldCharType="begin"/>
              <w:instrText xml:space="preserve"> REF _RefEqN_rule \h \* CHARFORMAT </w:instrText>
              <w:fldChar w:fldCharType="separate"/>
              <w:t>13</w:t>
              <w:fldChar w:fldCharType="end"/>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fldChar w:fldCharType="begin"/>
              <w:instrText xml:space="preserve"> REF _RefEqN_sat \h \* CHARFORMAT </w:instrText>
              <w:fldChar w:fldCharType="separate"/>
              <w:t>15</w:t>
              <w:fldChar w:fldCharType="end"/>
              <w:t>) fails on the merged forecast, the regional fields merged by (</w:t>
              <w:fldChar w:fldCharType="begin"/>
              <w:instrText xml:space="preserve"> REF _RefEqN_merge \h \* CHARFORMAT </w:instrText>
              <w:fldChar w:fldCharType="separate"/>
              <w:t>21</w:t>
              <w:fldChar w:fldCharType="end"/>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fldChar w:fldCharType="begin"/>
              <w:instrText xml:space="preserve"> REF _RefEqN_adapt \h \* CHARFORMAT </w:instrText>
              <w:fldChar w:fldCharType="separate"/>
              <w:t>16</w:t>
              <w:fldChar w:fldCharType="end"/>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place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fldChar w:fldCharType="begin"/>
              <w:instrText xml:space="preserve"> REF _RefEqN_gates \h \* CHARFORMAT </w:instrText>
              <w:fldChar w:fldCharType="separate"/>
              <w:t>19</w:t>
              <w:fldChar w:fldCharType="end"/>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fldChar w:fldCharType="begin"/>
              <w:instrText xml:space="preserve"> REF _RefEqN_share \h \* CHARFORMAT </w:instrText>
              <w:fldChar w:fldCharType="separate"/>
              <w:t>20</w:t>
              <w:fldChar w:fldCharType="end"/>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fldChar w:fldCharType="begin"/>
              <w:instrText xml:space="preserve"> REF _RefEqN_merge \h \* CHARFORMAT </w:instrText>
              <w:fldChar w:fldCharType="separate"/>
              <w:t>21</w:t>
              <w:fldChar w:fldCharType="end"/>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instrText>REF _RefTab_scen \h</w:instrText>
        <w:fldChar w:fldCharType="separate"/>
        <w:t xml:space="preserve">Table II</w:t>
        <w:fldChar w:fldCharType="end"/>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fldChar w:fldCharType="begin"/>
        <w:instrText>REF _RefTab_camp \h</w:instrText>
        <w:fldChar w:fldCharType="separate"/>
        <w:t xml:space="preserve">Table III</w:t>
        <w:fldChar w:fldCharType="end"/>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fldChar w:fldCharType="begin"/>
        <w:instrText>REF _RefTab_scen \h</w:instrText>
        <w:fldChar w:fldCharType="separate"/>
        <w:t xml:space="preserve">Table II</w:t>
        <w:fldChar w:fldCharType="end"/>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instrText xml:space="preserve"> SEQ Table \* ROMAN </w:instrText>
        <w:fldChar w:fldCharType="separate"/>
        <w:t>II</w:t>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fldChar w:fldCharType="begin"/>
        <w:instrText xml:space="preserve"> REF _RefEqN_object \h \* CHARFORMAT </w:instrText>
        <w:fldChar w:fldCharType="separate"/>
        <w:t>17</w:t>
        <w:fldChar w:fldCharType="end"/>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instrText xml:space="preserve"> CITATION Chen24 \l 1033 </w:instrText>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fldChar w:fldCharType="begin"/>
        <w:instrText xml:space="preserve"> REF _RefEqN_cost \h \* CHARFORMAT </w:instrText>
        <w:fldChar w:fldCharType="separate"/>
        <w:t>14</w:t>
        <w:fldChar w:fldCharType="end"/>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fldChar w:fldCharType="begin"/>
        <w:instrText xml:space="preserve"> REF _RefTab_expert \h </w:instrText>
        <w:fldChar w:fldCharType="separate"/>
        <w:t>Table IV</w:t>
        <w:fldChar w:fldCharType="end"/>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instrText xml:space="preserve"> SEQ Table \* ROMAN </w:instrText>
        <w:fldChar w:fldCharType="separate"/>
        <w:t>III</w:t>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instrText xml:space="preserve"> SEQ Table \* ROMAN </w:instrText>
        <w:fldChar w:fldCharType="separate"/>
        <w:t>IV</w:t>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fldChar w:fldCharType="begin"/>
        <w:instrText>REF _RefTab_fam \h</w:instrText>
        <w:fldChar w:fldCharType="separate"/>
        <w:t xml:space="preserve">Table VI</w:t>
        <w:fldChar w:fldCharType="end"/>
        <w:t xml:space="preserve">. Total cost in (</w:t>
        <w:fldChar w:fldCharType="begin"/>
        <w:instrText xml:space="preserve"> REF _RefEqN_cost \h \* CHARFORMAT </w:instrText>
        <w:fldChar w:fldCharType="separate"/>
        <w:t>14</w:t>
        <w:fldChar w:fldCharType="end"/>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instrText xml:space="preserve"> SEQ Fig. \r 5 \* ARABIC </w:instrText>
                                <w:fldChar w:fldCharType="separate"/>
                                <w:t>5</w:t>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instrText xml:space="preserve"> SEQ Fig. \r 5 \* ARABIC </w:instrText>
                          <w:fldChar w:fldCharType="separate"/>
                          <w:t>5</w:t>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instrText xml:space="preserve"> SEQ Table \* ROMAN </w:instrText>
        <w:fldChar w:fldCharType="separate"/>
        <w:t>V</w:t>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Pr>
                <w:b/>
                <w:sz w:val="16"/>
                <w:szCs w:val="16"/>
              </w:rPr>
              <w:t>Score</w:t>
            </w:r>
          </w:p>
        </w:tc>
        <w:tc>
          <w:tcPr>
            <w:tcW w:w="675" w:type="pct"/>
          </w:tcPr>
          <w:p w14:paraId="0CCAC3CE" w14:textId="77777777" w:rsidR="003E3FD9" w:rsidRPr="00E107C1" w:rsidRDefault="00D31F60">
            <w:pPr>
              <w:keepNext/>
              <w:jc w:val="center"/>
              <w:rPr>
                <w:sz w:val="16"/>
                <w:szCs w:val="16"/>
              </w:rPr>
            </w:pPr>
            <w:r>
              <w:rPr>
                <w:b/>
                <w:sz w:val="16"/>
                <w:szCs w:val="16"/>
              </w:rPr>
              <w:t>Sc1</w:t>
            </w:r>
          </w:p>
        </w:tc>
        <w:tc>
          <w:tcPr>
            <w:tcW w:w="675" w:type="pct"/>
          </w:tcPr>
          <w:p w14:paraId="59C663EA" w14:textId="77777777" w:rsidR="003E3FD9" w:rsidRPr="00E107C1" w:rsidRDefault="00D31F60">
            <w:pPr>
              <w:keepNext/>
              <w:jc w:val="center"/>
              <w:rPr>
                <w:sz w:val="16"/>
                <w:szCs w:val="16"/>
              </w:rPr>
            </w:pPr>
            <w:r>
              <w:rPr>
                <w:b/>
                <w:sz w:val="16"/>
                <w:szCs w:val="16"/>
              </w:rPr>
              <w:t>Sc2</w:t>
            </w:r>
          </w:p>
        </w:tc>
        <w:tc>
          <w:tcPr>
            <w:tcW w:w="675" w:type="pct"/>
          </w:tcPr>
          <w:p w14:paraId="2AF3FD0C" w14:textId="77777777" w:rsidR="003E3FD9" w:rsidRPr="00E107C1" w:rsidRDefault="00D31F60">
            <w:pPr>
              <w:keepNext/>
              <w:jc w:val="center"/>
              <w:rPr>
                <w:sz w:val="16"/>
                <w:szCs w:val="16"/>
              </w:rPr>
            </w:pPr>
            <w:r>
              <w:rPr>
                <w:b/>
                <w:sz w:val="16"/>
                <w:szCs w:val="16"/>
              </w:rPr>
              <w:t>Sc3</w:t>
            </w:r>
          </w:p>
        </w:tc>
        <w:tc>
          <w:tcPr>
            <w:tcW w:w="678" w:type="pct"/>
          </w:tcPr>
          <w:p w14:paraId="6D3F848E" w14:textId="77777777" w:rsidR="003E3FD9" w:rsidRPr="00E107C1" w:rsidRDefault="00D31F60">
            <w:pPr>
              <w:keepNext/>
              <w:jc w:val="center"/>
              <w:rPr>
                <w:sz w:val="16"/>
                <w:szCs w:val="16"/>
              </w:rPr>
            </w:pPr>
            <w:r>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Pr>
                <w:sz w:val="16"/>
                <w:szCs w:val="16"/>
              </w:rPr>
              <w:t>83%</w:t>
            </w:r>
          </w:p>
        </w:tc>
        <w:tc>
          <w:tcPr>
            <w:tcW w:w="675" w:type="pct"/>
          </w:tcPr>
          <w:p w14:paraId="7E7E45EF" w14:textId="77777777" w:rsidR="003E3FD9" w:rsidRPr="00E107C1" w:rsidRDefault="00D31F60">
            <w:pPr>
              <w:keepNext/>
              <w:jc w:val="center"/>
              <w:rPr>
                <w:sz w:val="16"/>
                <w:szCs w:val="16"/>
              </w:rPr>
            </w:pPr>
            <w:r>
              <w:rPr>
                <w:sz w:val="16"/>
                <w:szCs w:val="16"/>
              </w:rPr>
              <w:t>89%</w:t>
            </w:r>
          </w:p>
        </w:tc>
        <w:tc>
          <w:tcPr>
            <w:tcW w:w="675" w:type="pct"/>
          </w:tcPr>
          <w:p w14:paraId="4D4DDE81" w14:textId="77777777" w:rsidR="003E3FD9" w:rsidRPr="00E107C1" w:rsidRDefault="00D31F60">
            <w:pPr>
              <w:keepNext/>
              <w:jc w:val="center"/>
              <w:rPr>
                <w:sz w:val="16"/>
                <w:szCs w:val="16"/>
              </w:rPr>
            </w:pPr>
            <w:r>
              <w:rPr>
                <w:sz w:val="16"/>
                <w:szCs w:val="16"/>
              </w:rPr>
              <w:t>89%</w:t>
            </w:r>
          </w:p>
        </w:tc>
        <w:tc>
          <w:tcPr>
            <w:tcW w:w="678" w:type="pct"/>
          </w:tcPr>
          <w:p w14:paraId="3F5DDE4B" w14:textId="77777777" w:rsidR="003E3FD9" w:rsidRPr="00E107C1" w:rsidRDefault="00D31F60">
            <w:pPr>
              <w:keepNext/>
              <w:jc w:val="center"/>
              <w:rPr>
                <w:sz w:val="16"/>
                <w:szCs w:val="16"/>
              </w:rPr>
            </w:pPr>
            <w:r>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Pr>
                <w:sz w:val="16"/>
                <w:szCs w:val="16"/>
              </w:rPr>
              <w:t>Probability of detection</w:t>
            </w:r>
          </w:p>
        </w:tc>
        <w:tc>
          <w:tcPr>
            <w:tcW w:w="675" w:type="pct"/>
          </w:tcPr>
          <w:p w14:paraId="47B31D12" w14:textId="77777777" w:rsidR="003E3FD9" w:rsidRPr="00E107C1" w:rsidRDefault="00D31F60">
            <w:pPr>
              <w:keepNext/>
              <w:jc w:val="center"/>
              <w:rPr>
                <w:sz w:val="16"/>
                <w:szCs w:val="16"/>
              </w:rPr>
            </w:pPr>
            <w:r>
              <w:rPr>
                <w:sz w:val="16"/>
                <w:szCs w:val="16"/>
              </w:rPr>
              <w:t>92%</w:t>
            </w:r>
          </w:p>
        </w:tc>
        <w:tc>
          <w:tcPr>
            <w:tcW w:w="675" w:type="pct"/>
          </w:tcPr>
          <w:p w14:paraId="3D6F10E2" w14:textId="77777777" w:rsidR="003E3FD9" w:rsidRPr="00E107C1" w:rsidRDefault="00D31F60">
            <w:pPr>
              <w:keepNext/>
              <w:jc w:val="center"/>
              <w:rPr>
                <w:sz w:val="16"/>
                <w:szCs w:val="16"/>
              </w:rPr>
            </w:pPr>
            <w:r>
              <w:rPr>
                <w:sz w:val="16"/>
                <w:szCs w:val="16"/>
              </w:rPr>
              <w:t>87%</w:t>
            </w:r>
          </w:p>
        </w:tc>
        <w:tc>
          <w:tcPr>
            <w:tcW w:w="675" w:type="pct"/>
          </w:tcPr>
          <w:p w14:paraId="68E783AB" w14:textId="77777777" w:rsidR="003E3FD9" w:rsidRPr="00E107C1" w:rsidRDefault="00D31F60">
            <w:pPr>
              <w:keepNext/>
              <w:jc w:val="center"/>
              <w:rPr>
                <w:sz w:val="16"/>
                <w:szCs w:val="16"/>
              </w:rPr>
            </w:pPr>
            <w:r>
              <w:rPr>
                <w:sz w:val="16"/>
                <w:szCs w:val="16"/>
              </w:rPr>
              <w:t>98%</w:t>
            </w:r>
          </w:p>
        </w:tc>
        <w:tc>
          <w:tcPr>
            <w:tcW w:w="678" w:type="pct"/>
          </w:tcPr>
          <w:p w14:paraId="14B32199" w14:textId="77777777" w:rsidR="003E3FD9" w:rsidRPr="00E107C1" w:rsidRDefault="00D31F60">
            <w:pPr>
              <w:keepNext/>
              <w:jc w:val="center"/>
              <w:rPr>
                <w:sz w:val="16"/>
                <w:szCs w:val="16"/>
              </w:rPr>
            </w:pPr>
            <w:r>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Pr>
                <w:sz w:val="16"/>
                <w:szCs w:val="16"/>
              </w:rPr>
              <w:t>Front distance (m), mean</w:t>
            </w:r>
          </w:p>
        </w:tc>
        <w:tc>
          <w:tcPr>
            <w:tcW w:w="675" w:type="pct"/>
          </w:tcPr>
          <w:p w14:paraId="01DC4D6C" w14:textId="77777777" w:rsidR="003E3FD9" w:rsidRPr="00E107C1" w:rsidRDefault="00D31F60">
            <w:pPr>
              <w:keepNext/>
              <w:jc w:val="center"/>
              <w:rPr>
                <w:sz w:val="16"/>
                <w:szCs w:val="16"/>
              </w:rPr>
            </w:pPr>
            <w:r>
              <w:rPr>
                <w:sz w:val="16"/>
                <w:szCs w:val="16"/>
              </w:rPr>
              <w:t>315</w:t>
            </w:r>
          </w:p>
        </w:tc>
        <w:tc>
          <w:tcPr>
            <w:tcW w:w="675" w:type="pct"/>
          </w:tcPr>
          <w:p w14:paraId="7B92E573" w14:textId="77777777" w:rsidR="003E3FD9" w:rsidRPr="00E107C1" w:rsidRDefault="00D31F60">
            <w:pPr>
              <w:keepNext/>
              <w:jc w:val="center"/>
              <w:rPr>
                <w:sz w:val="16"/>
                <w:szCs w:val="16"/>
              </w:rPr>
            </w:pPr>
            <w:r>
              <w:rPr>
                <w:sz w:val="16"/>
                <w:szCs w:val="16"/>
              </w:rPr>
              <w:t>345</w:t>
            </w:r>
          </w:p>
        </w:tc>
        <w:tc>
          <w:tcPr>
            <w:tcW w:w="675" w:type="pct"/>
          </w:tcPr>
          <w:p w14:paraId="4D7955FB" w14:textId="77777777" w:rsidR="003E3FD9" w:rsidRPr="00E107C1" w:rsidRDefault="00D31F60">
            <w:pPr>
              <w:keepNext/>
              <w:jc w:val="center"/>
              <w:rPr>
                <w:sz w:val="16"/>
                <w:szCs w:val="16"/>
              </w:rPr>
            </w:pPr>
            <w:r>
              <w:rPr>
                <w:sz w:val="16"/>
                <w:szCs w:val="16"/>
              </w:rPr>
              <w:t>109</w:t>
            </w:r>
          </w:p>
        </w:tc>
        <w:tc>
          <w:tcPr>
            <w:tcW w:w="678" w:type="pct"/>
          </w:tcPr>
          <w:p w14:paraId="42E449A3" w14:textId="77777777" w:rsidR="003E3FD9" w:rsidRPr="00E107C1" w:rsidRDefault="00D31F60">
            <w:pPr>
              <w:keepNext/>
              <w:jc w:val="center"/>
              <w:rPr>
                <w:sz w:val="16"/>
                <w:szCs w:val="16"/>
              </w:rPr>
            </w:pPr>
            <w:r>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fldChar w:fldCharType="begin"/>
        <w:instrText>REF _RefFig5 \h</w:instrText>
        <w:fldChar w:fldCharType="separate"/>
      </w:r>
      <w:r>
        <w:rPr>
          <w:sz w:val="18"/>
        </w:rPr>
        <w:t xml:space="preserve">Fig. 5</w:t>
      </w:r>
      <w:r>
        <w:fldChar w:fldCharType="end"/>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instrText>REF _RefTab_fam \h</w:instrText>
        <w:fldChar w:fldCharType="separate"/>
        <w:t xml:space="preserve">Table VI</w:t>
        <w:fldChar w:fldCharType="end"/>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instrText xml:space="preserve"> SEQ Table \* ROMAN </w:instrText>
        <w:fldChar w:fldCharType="separate"/>
        <w:t>VI</w:t>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instrText>REF _RefTab_abl \h</w:instrText>
        <w:fldChar w:fldCharType="separate"/>
        <w:t>Table VII</w:t>
        <w:fldChar w:fldCharType="end"/>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instrText xml:space="preserve"> SEQ Table \* ROMAN </w:instrText>
        <w:fldChar w:fldCharType="separate"/>
        <w:t>VII</w:t>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fldChar w:fldCharType="begin"/>
        <w:instrText>REF _RefFig7 \h</w:instrText>
        <w:fldChar w:fldCharType="separate"/>
      </w:r>
      <w:r>
        <w:rPr>
          <w:sz w:val="18"/>
        </w:rPr>
        <w:t>Fig. 6</w:t>
      </w:r>
      <w:r>
        <w:fldChar w:fldCharType="end"/>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instrText xml:space="preserve"> SEQ Fig. \r 6 \* ARABIC </w:instrText>
                                <w:fldChar w:fldCharType="separate"/>
                                <w:t>6</w:t>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instrText xml:space="preserve"> SEQ Fig. \r 6 \* ARABIC </w:instrText>
                          <w:fldChar w:fldCharType="separate"/>
                          <w:t>6</w:t>
                          <w:fldChar w:fldCharType="end"/>
                        </w:r>
                        <w:bookmarkEnd w:id="68"/>
                        <w:r>
                          <w:rPr>
                            <w:sz w:val="18"/>
                          </w:rPr>
                          <w:t>. Admitted objects (a) by kind and origin, (b) clauses by effect and sector.</w:t>
                        </w:r>
                      </w:p>
                    </w:txbxContent>
                  </v:textbox>
                </v:shape>
                <w10:wrap type="square" anchorx="margin" anchory="margin"/>
              </v:group>
            </w:pict>
          </mc:Fallback>
        </mc:AlternateContent>
      </w:r>
      <w:r>
        <w:fldChar w:fldCharType="begin"/>
        <w:instrText>REF _RefTab_with \h</w:instrText>
        <w:fldChar w:fldCharType="separate"/>
        <w:t xml:space="preserve">Table VIII</w:t>
        <w:fldChar w:fldCharType="end"/>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instrText xml:space="preserve"> SEQ Table \* ROMAN </w:instrText>
        <w:fldChar w:fldCharType="separate"/>
        <w:t>VIII</w:t>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 xml:space="preserve">40 rules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 xml:space="preserve">Recorded + Closed / 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br/>
              <w:t xml:space="preserve">Recorded + Closed / 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br/>
              <w:t xml:space="preserve">Seeds + Open / 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br/>
              <w:t xml:space="preserve">Recorded + Open / 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br/>
              <w:t xml:space="preserve">Recorded + Open / 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br/>
              <w:t xml:space="preserve">Recorded + Open / 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 Actual LLM-call cycles, including the gated search, have a 16 s ninetieth percentile and 55 s maximum, below the 12 min decision interval. </w:t>
        <w:fldChar w:fldCharType="begin"/>
        <w:instrText>REF _RefFig9 \h</w:instrText>
        <w:fldChar w:fldCharType="separate"/>
      </w:r>
      <w:r>
        <w:rPr>
          <w:sz w:val="18"/>
        </w:rPr>
        <w:t>Fig. 7</w:t>
      </w:r>
      <w:r>
        <w:fldChar w:fldCharType="end"/>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instrText xml:space="preserve"> SEQ Fig. \r 7 \* ARABIC </w:instrText>
                                <w:fldChar w:fldCharType="separate"/>
                                <w:t>7</w:t>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instrText xml:space="preserve"> SEQ Fig. \r 7 \* ARABIC </w:instrText>
                          <w:fldChar w:fldCharType="separate"/>
                          <w:t>7</w:t>
                          <w:fldChar w:fldCharType="end"/>
                        </w:r>
                        <w:bookmarkEnd w:id="74"/>
                        <w:r>
                          <w:rPr>
                            <w:sz w:val="18"/>
                          </w:rPr>
                          <w:t>. Decision time by agents and grid size, CPU harness without model calls.</w:t>
                        </w:r>
                      </w:p>
                    </w:txbxContent>
                  </v:textbox>
                </v:shape>
                <w10:wrap type="square" anchorx="margin" anchory="margin"/>
              </v:group>
            </w:pict>
          </mc:Fallback>
        </mc:AlternateContent>
      </w:r>
      <w:r>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instrText xml:space="preserve"> BIBLIOGRAPHY </w:instrText>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1622-1633,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1622-1633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