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admits at most one object per call. In simulation on 150 paired incidents, GODA lowers burned area by 61% against the closed layer, raises the share of extinguished incidents from 52% to 91%, and lowers priced response by 46% and affected population, the initial residents of burned cells, by 80%. The gated search carries most of the gain: behind the same gates, a search over the closed vocabulary reaches two thirds of it and a random proposer over the composed grammar three quarters, whereas a hand-written doctrine over the same effects gains little.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generative rule proposal,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Blind hindcast against satellite fire records assesses spatial agreement, while paired comparisons on identical worlds isolate decision benefits, including under planning-model error. The paired comparisons attribute the gain to the composed vocabulary and the gated search together, and to the proposer, under model error and operating limits.</w:t>
      </w:r>
    </w:p>
    <w:p w14:paraId="27FE739F"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0.15 to 0.30;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w:t>
      </w:r>
      <w:r>
        <w:t xml:space="preserve">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7A411237" w14:textId="77777777">
        <w:trPr>
          <w:cantSplit/>
          <w:jc w:val="center"/>
        </w:trPr>
        <w:tc>
          <w:tcPr>
            <w:tcW w:w="4500" w:type="pct"/>
            <w:vAlign w:val="center"/>
          </w:tcPr>
          <w:p w14:paraId="5952F80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5F026748" w14:textId="77777777"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2D64B8C0" w14:textId="77777777" w:rsidR="00096354" w:rsidRDefault="00096354">
      <w:pPr>
        <w:pStyle w:val="Text"/>
        <w:rPr>
          <w:sz w:val="12"/>
          <w:szCs w:val="12"/>
        </w:rPr>
      </w:pPr>
    </w:p>
    <w:p w14:paraId="0C105F77" w14:textId="77777777"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F65A855" w14:textId="77777777">
        <w:trPr>
          <w:cantSplit/>
          <w:jc w:val="center"/>
        </w:trPr>
        <w:tc>
          <w:tcPr>
            <w:tcW w:w="4500" w:type="pct"/>
            <w:vAlign w:val="center"/>
          </w:tcPr>
          <w:p w14:paraId="6B2B172B"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6F24BCA3" w14:textId="77777777"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xml:space="preserve">, </w:t>
      </w:r>
      <w:r w:rsidR="00AF4482">
        <w:lastRenderedPageBreak/>
        <w:t>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13</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14</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Intervention intensities are translated into executable orders through application-specific execution logic.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(16).</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18</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18</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18</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21</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19</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t xml:space="preserve"> The log distinguishes model candidates from their variations.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p>
    <w:p w14:paraId="0E8F8563" w14:textId="2A12F92B"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samples objects uniformly from the grammar of (19) and spends its budget on fresh samples rather than variations.</w:t>
      </w:r>
      <w:r>
        <w:t xml:space="preserve"> For both proposers, at most one candidate per call is admitted, and most rejections occur at G1 to G4 and at the first forecast.</w:t>
      </w:r>
    </w:p>
    <w:p w14:paraId="32FCECCD" w14:textId="77777777" w:rsidR="00F30F81" w:rsidRDefault="00D31F60">
      <w:pPr>
        <w:pStyle w:val="Text"/>
      </w:pPr>
      <w:r>
        <w:t>The gate chain enforces the structural, resource and forecast-based acceptance conditions before a proposed object enters the rule base, independently of the proposer.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Second, every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 xml:space="preserve">) 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Interface / 12</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None issues no orders.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19</w:t>
      </w:r>
      <w:r>
        <w:fldChar w:fldCharType="end"/>
      </w:r>
      <w:r>
        <w:t xml:space="preserve">). The reported runs call Claude Opus 5 through Claude Code with temperature and top-p left unset, one turn per request and tools disabled. A request asks for six candidates. The closed layer spends two shadow forecasts per cycle on the acceptance test and none on search, so the random control is the forecast-matched reference of GODA: the margin of GODA over Closed combines the search and the vocabulary, and the margin over the random control measures what the model candidates and their variations add to uniform sampling. Full search allows 36 first-future forecasts and up to three additional finalist evaluations; the candidate-only configuration omits variations, and the small random control sets its search budget to six. Single-candidate controls submit one random or LLM candidate to the gates; an ungated variant admits the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sets a moisture floor of 0.45 and decays by 0.003 per min.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xml:space="preserve">) are 10⁻⁴.</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Timing runs use one process on an Intel Core i9-10900K (3.70 GHz, 10 cores, 20 threads) with 32 GB RAM, 64-bit Windows 11 Enterprise and Python 3.14. Regional agents are logical partitions.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None / 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33 aggregate comparisons, namely the main comparison and every row of the search, robustness and doctrine comparisons, using one million random sign assignments. The adjusted p applies to the main comparison; the other rows are reported with unadjusted intervals. Percentage half-widths divide the paired half-width by the reference mean, which is treated as fixed.</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recorded footprints; the decision results do not rest on it, since both arms of every comparison run on the same core.</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(16) from 0.2 to 1 narrows the total-cost advantage from 48% to 31 ± 7%, better in 108 worlds, and leaves the area result unchanged. Later admission raises dispatch-delay cost by 36%, included in the total.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1620" w:type="dxa"/>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72B0FC8A" w14:textId="77777777" w:rsidR="00CB2143" w:rsidRDefault="00CB2143" w:rsidP="00074B69">
            <w:pPr>
              <w:keepNext/>
              <w:spacing w:line="220" w:lineRule="auto"/>
              <w:jc w:val="center"/>
            </w:pPr>
            <w:r>
              <w:rPr>
                <w:b/>
                <w:sz w:val="18"/>
              </w:rPr>
              <w:t>None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1620" w:type="dxa"/>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112A8D0D" w14:textId="77777777" w:rsidR="00CB2143" w:rsidRDefault="00CB2143" w:rsidP="00074B69">
            <w:pPr>
              <w:keepNext/>
              <w:spacing w:line="220" w:lineRule="auto"/>
              <w:jc w:val="center"/>
            </w:pPr>
            <w:r>
              <w:rPr>
                <w:sz w:val="18"/>
              </w:rPr>
              <w:t>250.7 ± 4.3</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1620" w:type="dxa"/>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58A05ED5" w14:textId="77777777" w:rsidR="00CB2143" w:rsidRDefault="00CB2143" w:rsidP="00074B69">
            <w:pPr>
              <w:keepNext/>
              <w:spacing w:line="220" w:lineRule="auto"/>
              <w:jc w:val="center"/>
            </w:pPr>
            <w:r>
              <w:rPr>
                <w:sz w:val="18"/>
              </w:rPr>
              <w:t>5793.4 ± 278.0</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1620" w:type="dxa"/>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33EFB709" w14:textId="77777777" w:rsidR="00CB2143" w:rsidRDefault="00CB2143" w:rsidP="00074B69">
            <w:pPr>
              <w:keepNext/>
              <w:spacing w:line="220" w:lineRule="auto"/>
              <w:jc w:val="center"/>
            </w:pPr>
            <w:r>
              <w:rPr>
                <w:sz w:val="18"/>
              </w:rPr>
              <w:t>0.0</w:t>
            </w:r>
            <w:r>
              <w:rPr>
                <w:sz w:val="18"/>
              </w:rPr>
              <w:br/>
              <w:t>[0.0–2.5]</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1620" w:type="dxa"/>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41064D1" w14:textId="77777777" w:rsidR="00CB2143" w:rsidRDefault="00CB2143" w:rsidP="00074B69">
            <w:pPr>
              <w:keepNext/>
              <w:spacing w:line="220" w:lineRule="auto"/>
              <w:jc w:val="center"/>
            </w:pPr>
            <w:r>
              <w:rPr>
                <w:sz w:val="18"/>
              </w:rPr>
              <w:t>0.653 ± 0.003</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1620" w:type="dxa"/>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6ACCA597" w14:textId="77777777" w:rsidR="00CB2143" w:rsidRDefault="00CB2143" w:rsidP="00074B69">
            <w:pPr>
              <w:keepNext/>
              <w:spacing w:line="220" w:lineRule="auto"/>
              <w:jc w:val="center"/>
            </w:pPr>
            <w:r>
              <w:rPr>
                <w:sz w:val="18"/>
              </w:rPr>
              <w:t>0.935 ± 0.014</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1620" w:type="dxa"/>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B977839" w14:textId="77777777" w:rsidR="00CB2143" w:rsidRDefault="00CB2143" w:rsidP="00074B69">
            <w:pPr>
              <w:keepNext/>
              <w:spacing w:line="220" w:lineRule="auto"/>
              <w:jc w:val="center"/>
            </w:pPr>
            <w:r>
              <w:rPr>
                <w:sz w:val="18"/>
              </w:rPr>
              <w:t>0.207 ± 0.009</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1620" w:type="dxa"/>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32985220"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1620" w:type="dxa"/>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22DBCF6F"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1620" w:type="dxa"/>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083B0068" w14:textId="77777777" w:rsidR="00CB2143" w:rsidRDefault="00CB2143" w:rsidP="00074B69">
            <w:pPr>
              <w:keepNext/>
              <w:spacing w:line="220" w:lineRule="auto"/>
              <w:jc w:val="center"/>
            </w:pPr>
            <w:r>
              <w:rPr>
                <w:sz w:val="18"/>
              </w:rPr>
              <w:t>0.598 ± 0.008</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1620" w:type="dxa"/>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703FAF52" w14:textId="77777777" w:rsidR="00CB2143" w:rsidRDefault="00CB2143" w:rsidP="00074B69">
            <w:pPr>
              <w:keepNext/>
              <w:spacing w:line="220" w:lineRule="auto"/>
              <w:jc w:val="center"/>
            </w:pPr>
            <w:r>
              <w:rPr>
                <w:sz w:val="18"/>
              </w:rPr>
              <w:t>0.528 ± 0.007</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composition and the model candidates add the remaining 20 points. Random seeds with the variation operator reach 34 ± 9%, below fresh sampling, so variations need good seeds. Without G5 to G8, the single LLM candidate still reduces area by 25 ± 9%, 4 ± 10 points less than with them, but the worlds worse than Closed rise from 16 to 28 and extinguished incidents in S2 fall from 17% to 3%; with one candidate the forecast gates have nothing to select from, and their contribution appears in the search, where the same forecasts rank the 36 candidates. A repeat stays within four points of the nominal area advantage. With independent gate futures the advantage is 54 ± 12%; of the 360 calls that reach the final test, 354 admit their best candidate, compared with 359 of 364 nominally.</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Weakening coating leaves 54 ± 12%, and removing its effect leaves 33 ± 9%, so the advantage extends beyond the nominal coating assumption. Known price, stock and delay limits retain 60%, 53% and 50%, respectively. Under the 20 ha stock, mean coated area is 11.2 ha. With price doubled, response cost is 0.277 versus 0.231 nominally and 0.428 for Closed. These outcomes identify coating effectiveness and availability as determinants of the attainable gain.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recorded tactics are the composed interventions admitted in at least 7 of the 75 derivation worlds, a fixed rule applied before the transfer tests; they are line and attack, interface hardening, asset collar, and head coating; all four are ordinary initial-attack moves, retardant ahead of the head or around a settlement and lines blended with attack or protection, placed by forecast.</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unseen worlds,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priced response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Seen as a planner, the gated search is a receding-horizon search over an action grammar; the contribution is the architecture around it, a doctrine that records what the search admits and gates that make the forecast, not the proposer, the criterion of selection, so that interventions are discovered, checked and reused over a fixed executable basis.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[50]</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[51]</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[52]</w:t>
          </w:r>
          <w:r>
            <w:fldChar w:fldCharType="end"/>
          </w:r>
        </w:sdtContent>
      </w:sdt>
      <w:r>
        <w:t xml:space="preserve"> also search a fixed vocabulary, but offline, whereas the search here runs during the incident on its forecasts.</w:t>
      </w:r>
    </w:p>
    <w:p w14:paraId="26E4C15C" w14:textId="30C50EEF" w:rsidR="00FF0CB1" w:rsidRDefault="00DB0B75">
      <w:pPr>
        <w:pStyle w:val="Text"/>
        <w:spacing w:line="240" w:lineRule="auto"/>
      </w:pPr>
      <w:r>
        <w:t xml:space="preserve">The gain persists under the tested model errors and operating limits, including ineffective coating and faster-than-planned wind.  Admission nevertheless remains conditional on the hazard model. The errors a different spread model would introduce, in the rate and direction of spread and in the effect of suppression and coating, are the quantities the model-error tests perturb, and the gain holds under each of them;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 The forecast-based guard evaluates physical cost over the guard horizon; it does not guarantee improvement on every realized trajectory.</w:t>
      </w:r>
    </w:p>
    <w:p w14:paraId="30DAB8EB" w14:textId="2055D6A3" w:rsidR="00FF0CB1" w:rsidRDefault="00DB0B75">
      <w:pPr>
        <w:pStyle w:val="Text"/>
        <w:spacing w:line="240" w:lineRule="auto"/>
      </w:pPr>
      <w:r>
        <w:t xml:space="preserve">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[50]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[51]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[52]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He manages research and development projects on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50</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51</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52</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