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pPr>
        <w:pBdr>
          <w:top w:val="nil"/>
          <w:left w:val="nil"/>
          <w:bottom w:val="nil"/>
          <w:right w:val="nil"/>
          <w:between w:val="nil"/>
        </w:pBdr>
        <w:jc w:val="center"/>
        <w:rPr>
          <w:color w:val="000000"/>
          <w:sz w:val="22"/>
          <w:szCs w:val="22"/>
        </w:rPr>
      </w:pPr>
      <w:r>
        <w:rPr>
          <w:color w:val="000000"/>
          <w:sz w:val="22"/>
          <w:szCs w:val="22"/>
        </w:rPr>
        <w:t xml:space="preserve">Çağlar Akman and Kemal Leblebicioğlu</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pPr>
      <w:r>
        <w:rPr>
          <w:b/>
          <w:i/>
          <w:sz w:val="18"/>
          <w:szCs w:val="18"/>
        </w:rPr>
        <w:t xml:space="preserve"/>
      </w:r>
      <w:r>
        <w:rPr>
          <w:b/>
          <w:i/>
          <w:sz w:val="18"/>
          <w:szCs w:val="18"/>
        </w:rPr>
        <w:t xml:space="preserve"/>
      </w:r>
      <w:r>
        <w:rPr>
          <w:b/>
          <w:i/>
          <w:sz w:val="18"/>
          <w:szCs w:val="18"/>
        </w:rP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separated cores: a simulation core that owns the hazard state and a decision core that reads it only through observations. Local agents turn ten confidence-gated features into five decision concepts, a sparse Takagi-</w:t>
      </w:r>
      <w:r>
        <w:rPr>
          <w:b/>
          <w:i/>
          <w:sz w:val="18"/>
          <w:szCs w:val="18"/>
        </w:rPr>
        <w:t xml:space="preserve"/>
      </w:r>
      <w:r>
        <w:rPr>
          <w:b/>
          <w:i/>
          <w:sz w:val="18"/>
          <w:szCs w:val="18"/>
        </w:rPr>
        <w:t xml:space="preserve"/>
      </w:r>
      <w:proofErr w:type="spellStart"/>
      <w:r>
        <w:rPr>
          <w:b/>
          <w:sz w:val="18"/>
          <w:szCs w:val="18"/>
        </w:rPr>
        <w:t xml:space="preserve">Sugeno</w:t>
      </w:r>
      <w:proofErr w:type="spellEnd"/>
      <w:r>
        <w:rPr>
          <w:b/>
          <w:sz w:val="18"/>
          <w:szCs w:val="18"/>
        </w:rPr>
        <w:t xml:space="preserve"/>
      </w:r>
      <w:r>
        <w:rPr>
          <w:b/>
          <w:sz w:val="18"/>
          <w:szCs w:val="18"/>
        </w:rPr>
        <w:t xml:space="preserve"/>
      </w:r>
      <w:r>
        <w:rPr>
          <w:b/>
          <w:sz w:val="18"/>
          <w:szCs w:val="18"/>
        </w:rPr>
        <w:t xml:space="preserve"> rule base maps them to six intervention families, and a coordination layer ranks regions and shares capacity while the commander supervises through bounded, reversible inputs. The central contribution is the open intervention space: a staged loop tunes decision parameters, instantiates rules on uncovered situations, and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t>
      </w:r>
      <w:r>
        <w:rPr>
          <w:b/>
          <w:sz w:val="18"/>
          <w:szCs w:val="18"/>
        </w:rPr>
        <w:t xml:space="preserve"/>
      </w:r>
      <w:r>
        <w:rPr>
          <w:b/>
          <w:sz w:val="18"/>
          <w:szCs w:val="18"/>
        </w:rPr>
        <w:t xml:space="preserve"/>
      </w:r>
      <w:proofErr w:type="gramStart"/>
      <w:r>
        <w:rPr>
          <w:b/>
          <w:sz w:val="18"/>
          <w:szCs w:val="18"/>
        </w:rPr>
        <w:t xml:space="preserve">stays</w:t>
      </w:r>
      <w:proofErr w:type="gramEnd"/>
      <w:r>
        <w:rPr>
          <w:b/>
          <w:sz w:val="18"/>
          <w:szCs w:val="18"/>
        </w:rPr>
        <w:t xml:space="preserve"/>
      </w:r>
      <w:r>
        <w:rPr>
          <w:b/>
          <w:sz w:val="18"/>
          <w:szCs w:val="18"/>
        </w:rPr>
        <w:t xml:space="preserve"/>
      </w:r>
      <w:r>
        <w:rPr>
          <w:b/>
          <w:sz w:val="18"/>
          <w:szCs w:val="18"/>
        </w:rPr>
        <w:t xml:space="preserve"> traceable to its concepts, rules, and confidences. The simulation core reproduces four historical fires with 86 to 94 % agreement, and on this ground the full configuration reduces mean burned area by 82 % against no action, halves the loss of the static doctrine, and carries sixteen times more agents at under 1.3 times the cost per decision.</w:t>
      </w:r>
      <w:r>
        <w:rPr>
          <w:b/>
          <w:sz w:val="18"/>
          <w:szCs w:val="18"/>
        </w:rPr>
        <w:t xml:space="preserve"/>
      </w:r>
      <w:r>
        <w:rPr>
          <w:b/>
          <w:sz w:val="18"/>
          <w:szCs w:val="18"/>
        </w:rPr>
        <w:t xml:space="preserve"/>
      </w:r>
    </w:p>
    <w:p w14:paraId="08C70B6A" w14:textId="77777777" w:rsidR="004A6C58" w:rsidRDefault="00121BAB">
      <w:pPr>
        <w:spacing w:after="240"/>
        <w:jc w:val="both"/>
      </w:pPr>
      <w:r>
        <w:rPr>
          <w:b/>
          <w:i/>
          <w:sz w:val="18"/>
          <w:szCs w:val="18"/>
        </w:rPr>
        <w:t xml:space="preserve"/>
      </w:r>
      <w:r>
        <w:rPr>
          <w:b/>
          <w:i/>
          <w:sz w:val="18"/>
          <w:szCs w:val="18"/>
        </w:rPr>
        <w:t xml:space="preserve">Index Terms—System-of-systems architecture, distributed decision support, open intervention space, verification and fail-safe design, human-supervised emergency response, wildfire management.</w:t>
      </w:r>
      <w:r>
        <w:rPr>
          <w:b/>
          <w:i/>
          <w:sz w:val="18"/>
          <w:szCs w:val="18"/>
        </w:rPr>
        <w:t xml:space="preserve"/>
      </w:r>
      <w:r>
        <w:rPr>
          <w:b/>
          <w:sz w:val="18"/>
          <w:szCs w:val="18"/>
        </w:rPr>
        <w:t xml:space="preserve"/>
      </w:r>
      <w:r>
        <w:rPr>
          <w:b/>
          <w:sz w:val="18"/>
          <w:szCs w:val="18"/>
        </w:rPr>
        <w:t xml:space="preserve"/>
      </w:r>
      <w:proofErr w:type="spellStart"/>
      <w:r>
        <w:rPr>
          <w:b/>
          <w:sz w:val="18"/>
          <w:szCs w:val="18"/>
        </w:rPr>
        <w:t xml:space="preserve"/>
      </w:r>
      <w:r>
        <w:rPr>
          <w:b/>
          <w:sz w:val="18"/>
          <w:szCs w:val="18"/>
        </w:rPr>
        <w:t xml:space="preserve"/>
      </w:r>
      <w:proofErr w:type="spellEnd"/>
      <w:r>
        <w:rPr>
          <w:b/>
          <w:sz w:val="18"/>
          <w:szCs w:val="18"/>
        </w:rPr>
        <w:t xml:space="preserve"/>
      </w:r>
      <w:r>
        <w:rPr>
          <w:b/>
          <w:sz w:val="18"/>
          <w:szCs w:val="18"/>
        </w:rPr>
        <w:t xml:space="preserve"/>
      </w:r>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pPr>
      <w:r>
        <w:t xml:space="preserve"/>
      </w:r>
      <w:r>
        <w:t xml:space="preserve">DisasterAware answers these gaps with an architecture whose central contribution is the open intervention space: the set of orders the system may issue is not fixed in advance but grows during the incident, under verification. Three contributions match the gaps of Table </w:t>
      </w:r>
      <w:r>
        <w:t xml:space="preserve"/>
      </w:r>
      <w:r>
        <w:fldChar w:fldCharType="begin"/>
      </w:r>
      <w:r>
        <w:instrText xml:space="preserve"> REF _RefTabGaps \h </w:instrText>
      </w:r>
      <w:r>
        <w:fldChar w:fldCharType="separate"/>
      </w:r>
      <w:r>
        <w:rPr>
          <w:noProof/>
        </w:rPr>
        <w:t xml:space="preserve">I</w:t>
      </w:r>
      <w:r>
        <w:fldChar w:fldCharType="end"/>
      </w:r>
      <w:r>
        <w:t xml:space="preserve"> one to one.</w:t>
      </w:r>
    </w:p>
    <w:p w14:paraId="5CBC420F" w14:textId="2D34E241" w:rsidR="004A6C58" w:rsidRDefault="00121BAB">
      <w:pPr>
        <w:pStyle w:val="Text"/>
      </w:pPr>
      <w:r>
        <w:rPr>
          <w:b/>
          <w:bCs/>
        </w:rPr>
        <w:t xml:space="preserve"/>
      </w:r>
      <w:r>
        <w:rPr>
          <w:b/>
          <w:bCs/>
        </w:rPr>
        <w:t xml:space="preserve">Open intervention space through staged, verified adaptation. To address G1, the fixed menu of alternatives becomes an open field of orders: ten observation features aggregate into five decision concepts, so rules are written in operational language. The field is reshaped online on three levels: an evolving Takagi-</w:t>
      </w:r>
      <w:r>
        <w:rPr>
          <w:b/>
          <w:bCs/>
        </w:rPr>
        <w:t xml:space="preserve"/>
      </w:r>
      <w:proofErr w:type="spellStart"/>
      <w:r>
        <w:t xml:space="preserve">Sugeno</w:t>
      </w:r>
      <w:proofErr w:type="spellEnd"/>
      <w:r>
        <w:t xml:space="preserve"> base adapts memberships and consequents </w:t>
      </w:r>
      <w:r>
        <w:fldChar w:fldCharType="begin"/>
      </w:r>
      <w:r>
        <w:instrText xml:space="preserve"> CITATION TakagiSugeno1985 \l 1033 \m Ang04 </w:instrText>
      </w:r>
      <w:r>
        <w:fldChar w:fldCharType="separate"/>
      </w:r>
      <w:r>
        <w:rPr>
          <w:noProof/>
        </w:rPr>
        <w:t xml:space="preserve">[26, 27]</w:t>
      </w:r>
      <w:r>
        <w:fldChar w:fldCharType="end"/>
      </w:r>
      <w:r>
        <w: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t>
      </w:r>
      <w:r>
        <w:fldChar w:fldCharType="begin"/>
      </w:r>
      <w:r>
        <w:instrText xml:space="preserve"> CITATION Sim56 \l 1033 </w:instrText>
      </w:r>
      <w:r>
        <w:fldChar w:fldCharType="separate"/>
      </w:r>
      <w:r>
        <w:rPr>
          <w:noProof/>
        </w:rPr>
        <w:t xml:space="preserve">[28]</w:t>
      </w:r>
      <w:r>
        <w:fldChar w:fldCharType="end"/>
      </w:r>
      <w:r>
        <w:t xml:space="preserve">. Local agents do all reasoning, while a non-inferential global layer ranks priorities, assigns resources, and adjusts </w:t>
      </w:r>
      <w:r>
        <w:lastRenderedPageBreak/>
        <w:t>acceptance gates.</w:t>
      </w:r>
    </w:p>
    <w:p w14:paraId="3D3F1A08" w14:textId="3129F8DF" w:rsidR="004A6C58" w:rsidRDefault="00121BAB">
      <w:pPr>
        <w:pStyle w:val="Text"/>
      </w:pPr>
      <w:r>
        <w:rPr>
          <w:b/>
          <w:bCs/>
        </w:rPr>
        <w: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t>
      </w:r>
      <w:proofErr w:type="gramStart"/>
      <w:r>
        <w:rPr>
          <w:b/>
          <w:bCs/>
        </w:rPr>
        <w:t xml:space="preserve">traces</w:t>
      </w:r>
      <w:proofErr w:type="gramEnd"/>
      <w:r>
        <w:rPr>
          <w:b/>
          <w:bCs/>
        </w:rPr>
        <w:t xml:space="preserve"/>
      </w:r>
      <w:r>
        <w:rPr>
          <w:b/>
          <w:bCs/>
        </w:rPr>
        <w:t xml:space="preserve"> to its concepts, rules, and confidences, and a sensitivity analysis quantifies how the loop parameters affect the outputs, in contrast to post-hoc attribution </w:t>
      </w:r>
      <w:r>
        <w:rPr>
          <w:b/>
          <w:bCs/>
        </w:rPr>
        <w:t xml:space="preserve"/>
      </w:r>
      <w:r>
        <w:t xml:space="preserve"/>
      </w:r>
      <w:r>
        <w:t xml:space="preserve"/>
      </w:r>
      <w:r>
        <w:fldChar w:fldCharType="begin"/>
      </w:r>
      <w:r>
        <w:instrText xml:space="preserve"> CITATION RibeiroEtAl2016 \l 1033 </w:instrText>
      </w:r>
      <w:r>
        <w:fldChar w:fldCharType="separate"/>
      </w:r>
      <w:r>
        <w:rPr>
          <w:noProof/>
        </w:rPr>
        <w:t xml:space="preserve">[4]</w:t>
      </w:r>
      <w:r>
        <w:fldChar w:fldCharType="end"/>
      </w:r>
      <w:r>
        <w:t xml:space="preserve">.</w:t>
      </w:r>
    </w:p>
    <w:p w14:paraId="38D683EB" w14:textId="5D4DF7D3" w:rsidR="004A6C58" w:rsidRDefault="00121BAB">
      <w:pPr>
        <w:pStyle w:val="Text"/>
      </w:pPr>
      <w:r>
        <w:rPr>
          <w:b/>
          <w:bCs/>
        </w:rPr>
        <w:t xml:space="preserve">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t>
      </w:r>
      <w:r>
        <w:t xml:space="preserve"> </w:t>
      </w:r>
      <w:r>
        <w:fldChar w:fldCharType="begin"/>
      </w:r>
      <w:r>
        <w:instrText xml:space="preserve"> CITATION Fillmore2023 \l 1033 \m Rapp2020 </w:instrText>
      </w:r>
      <w:r>
        <w:fldChar w:fldCharType="separate"/>
      </w:r>
      <w:r>
        <w:rPr>
          <w:noProof/>
        </w:rPr>
        <w:t xml:space="preserve">[13, 14]</w:t>
      </w:r>
      <w:r>
        <w:fldChar w:fldCharType="end"/>
      </w:r>
      <w:r>
        <w:t xml:space="preserve">.</w:t>
      </w:r>
    </w:p>
    <w:p>
      <w:pPr>
        <w:pStyle w:val="Text"/>
        <w:rPr/>
      </w:pPr>
      <w:r>
        <w:t xml:space="preserve">This work is a systems contribution rather than a new inference algorithm. It defines the open intervention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the resulting architecture end to end on real fire records. The concept-driven inference and the generative proposer are components inside the architecture; either can be replaced without affecting the invariants.</w:t>
      </w:r>
    </w:p>
    <w:p w14:paraId="188F8E23" w14:textId="1F1ED225" w:rsidR="004A6C58" w:rsidRDefault="00121BAB">
      <w:pPr>
        <w:pStyle w:val="Heading1"/>
      </w:pPr>
      <w:r>
        <w:t xml:space="preserve">II. Background</w:t>
      </w:r>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pPr>
      <w:r>
        <w:t xml:space="preserve">B. Decision Support Foundations</w:t>
      </w:r>
    </w:p>
    <w:p w14:paraId="3993638E" w14:textId="77777777" w:rsidR="00803259" w:rsidRDefault="00803259" w:rsidP="00803259">
      <w:pPr>
        <w:pStyle w:val="Text"/>
      </w:pPr>
      <w:r>
        <w:t xml:space="preserve">A DSS mediates between the input space of what the system can observe and the decision space of what it is authorized to decide, helping an operator choose among actions with uncertain consequences </w:t>
      </w:r>
      <w:r>
        <w:fldChar w:fldCharType="begin"/>
      </w:r>
      <w:r>
        <w:instrText xml:space="preserve"> CITATION Power2002 \l 1033 </w:instrText>
      </w:r>
      <w:r>
        <w:fldChar w:fldCharType="separate"/>
      </w:r>
      <w:r>
        <w:rPr>
          <w:noProof/>
        </w:rPr>
        <w:t xml:space="preserve">[1]</w:t>
      </w:r>
      <w:r>
        <w:fldChar w:fldCharType="end"/>
      </w:r>
      <w:r>
        <w:t xml:space="preserve">. Wildfire response is the canonical semi-structured case: spread can be modeled and responses scored, yet accountability stays with the commander, and time-critical domains require explicit uncertainty handling </w:t>
      </w:r>
      <w:r>
        <w:fldChar w:fldCharType="begin"/>
      </w:r>
      <w:r>
        <w:instrText xml:space="preserve"> CITATION FrenchEtAl2019 \l 1033 </w:instrText>
      </w:r>
      <w:r>
        <w:fldChar w:fldCharType="separate"/>
      </w:r>
      <w:r>
        <w:rPr>
          <w:noProof/>
        </w:rPr>
        <w:t xml:space="preserve">[3]</w:t>
      </w:r>
      <w:r>
        <w:fldChar w:fldCharType="end"/>
      </w:r>
      <w:r>
        <w:t xml:space="preserve">.</w:t>
      </w:r>
    </w:p>
    <w:p w14:paraId="665F1FC4" w14:textId="21469B56" w:rsidR="00803259" w:rsidRDefault="00803259" w:rsidP="00803259">
      <w:pPr>
        <w:pStyle w:val="Text"/>
      </w:pPr>
      <w:r>
        <w:t xml:space="preserve">In a closed decision </w:t>
      </w:r>
      <w:proofErr w:type="gramStart"/>
      <w:r>
        <w:t xml:space="preserve">space</w:t>
      </w:r>
      <w:proofErr w:type="gramEnd"/>
      <w:r>
        <w:t xml:space="preserve"> the alternatives are enumerated in advance and the system can only rank them </w:t>
      </w:r>
      <w:r>
        <w:fldChar w:fldCharType="begin"/>
      </w:r>
      <w:r>
        <w:instrText xml:space="preserve"> CITATION Mal99 \l 1033 </w:instrText>
      </w:r>
      <w:r>
        <w:fldChar w:fldCharType="separate"/>
      </w:r>
      <w:r>
        <w:rPr>
          <w:noProof/>
        </w:rPr>
        <w:t xml:space="preserve">[15]</w:t>
      </w:r>
      <w:r>
        <w:fldChar w:fldCharType="end"/>
      </w:r>
      <w:r>
        <w:t xml:space="preserve"/>
      </w:r>
      <w:r>
        <w:t xml:space="preserve">. Fire produces conditions no predefined alternative covers, and commanders build courses of action from recognized patterns </w:t>
      </w:r>
      <w:r>
        <w:t xml:space="preserve"/>
      </w:r>
      <w:r>
        <w:fldChar w:fldCharType="begin"/>
      </w:r>
      <w:r>
        <w:instrText xml:space="preserve"> CITATION Klein1998 \l 1033 </w:instrText>
      </w:r>
      <w:r>
        <w:fldChar w:fldCharType="separate"/>
      </w:r>
      <w:r>
        <w:rPr>
          <w:noProof/>
        </w:rPr>
        <w:t xml:space="preserve">[31]</w:t>
      </w:r>
      <w:r>
        <w:fldChar w:fldCharType="end"/>
      </w:r>
      <w:r>
        <w:t xml:space="preserve">. An open space instead constructs new alternatives and verifies each before it acts. The elements exist separately: evolving Takagi-</w:t>
      </w:r>
      <w:proofErr w:type="spellStart"/>
      <w:r>
        <w:t xml:space="preserve">Sugeno</w:t>
      </w:r>
      <w:proofErr w:type="spellEnd"/>
      <w:r>
        <w:t xml:space="preserve"> models create rules online </w:t>
      </w:r>
      <w:r>
        <w:fldChar w:fldCharType="begin"/>
      </w:r>
      <w:r>
        <w:instrText xml:space="preserve"> CITATION Ang04 \l 1033 </w:instrText>
      </w:r>
      <w:r>
        <w:fldChar w:fldCharType="separate"/>
      </w:r>
      <w:r>
        <w:rPr>
          <w:noProof/>
        </w:rPr>
        <w:t xml:space="preserve">[27]</w:t>
      </w:r>
      <w:r>
        <w:fldChar w:fldCharType="end"/>
      </w:r>
      <w:r>
        <w:t xml:space="preserve">, value-based selectors learn when to change structure </w:t>
      </w:r>
      <w:r>
        <w:fldChar w:fldCharType="begin"/>
      </w:r>
      <w:r>
        <w:instrText xml:space="preserve"> CITATION Sut18 \l 1033 </w:instrText>
      </w:r>
      <w:r>
        <w:fldChar w:fldCharType="separate"/>
      </w:r>
      <w:r>
        <w:rPr>
          <w:noProof/>
        </w:rPr>
        <w:t xml:space="preserve">[32]</w:t>
      </w:r>
      <w:r>
        <w:fldChar w:fldCharType="end"/>
      </w:r>
      <w:r>
        <w:t xml:space="preserve">, and generative models draft rules outside the current structure </w:t>
      </w:r>
      <w:r>
        <w:fldChar w:fldCharType="begin"/>
      </w:r>
      <w:r>
        <w:instrText xml:space="preserve"> CITATION Xie24 \l 1033 </w:instrText>
      </w:r>
      <w:r>
        <w:fldChar w:fldCharType="separate"/>
      </w:r>
      <w:r>
        <w:rPr>
          <w:noProof/>
        </w:rPr>
        <w:t xml:space="preserve">[33]</w:t>
      </w:r>
      <w:r>
        <w:fldChar w:fldCharType="end"/>
      </w:r>
      <w:r>
        <w:t xml:space="preserve">. DisasterAware combines the three behind a satisficing acceptance gate </w:t>
      </w:r>
      <w:r>
        <w:fldChar w:fldCharType="begin"/>
      </w:r>
      <w:r>
        <w:instrText xml:space="preserve"> CITATION Sim56 \l 1033 </w:instrText>
      </w:r>
      <w:r>
        <w:fldChar w:fldCharType="separate"/>
      </w:r>
      <w:r>
        <w:rPr>
          <w:noProof/>
        </w:rPr>
        <w:t xml:space="preserve">[28]</w:t>
      </w:r>
      <w:r>
        <w:fldChar w:fldCharType="end"/>
      </w:r>
      <w:r>
        <w:t xml:space="preserve">, so the space stays open while every realized action stays admissible.</w:t>
      </w:r>
    </w:p>
    <w:p w14:paraId="6A529298" w14:textId="0047F8CE" w:rsidR="00803259" w:rsidRDefault="00803259" w:rsidP="00803259">
      <w:pPr>
        <w:pStyle w:val="Text"/>
      </w:pPr>
      <w:r>
        <w:t xml:space="preserve">In a centralized architecture every observation flows to one reasoning core: communication grows with the domain, latency with communication, and a core failure silences the system </w:t>
      </w:r>
      <w:r>
        <w:fldChar w:fldCharType="begin"/>
      </w:r>
      <w:r>
        <w:instrText xml:space="preserve"> CITATION Arnott2005 \l 1033 </w:instrText>
      </w:r>
      <w:r>
        <w:fldChar w:fldCharType="separate"/>
      </w:r>
      <w:r>
        <w:rPr>
          <w:noProof/>
        </w:rPr>
        <w:t xml:space="preserve">[17]</w:t>
      </w:r>
      <w:r>
        <w:fldChar w:fldCharType="end"/>
      </w:r>
      <w:r>
        <w:t xml:space="preserve">. Distributed architectures move reasoning to local nodes, as wildfire DSS reviews recommend </w:t>
      </w:r>
      <w:r>
        <w:fldChar w:fldCharType="begin"/>
      </w:r>
      <w:r>
        <w:instrText xml:space="preserve"> CITATION VasquezEtAl2021Forests \l 1033 </w:instrText>
      </w:r>
      <w:r>
        <w:fldChar w:fldCharType="separate"/>
      </w:r>
      <w:r>
        <w:rPr>
          <w:noProof/>
        </w:rPr>
        <w:t xml:space="preserve">[10]</w:t>
      </w:r>
      <w:r>
        <w:fldChar w:fldCharType="end"/>
      </w:r>
      <w:r>
        <w:t xml:space="preserve">.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t>
      </w:r>
    </w:p>
    <w:p w14:paraId="7CCEBCBD" w14:textId="06277338" w:rsidR="004A6C58" w:rsidRDefault="00121BAB">
      <w:pPr>
        <w:pStyle w:val="Heading2"/>
      </w:pPr>
      <w:r>
        <w:t xml:space="preserve">C. The Input Space: Heterogeneous Sensing to Observation Features</w:t>
      </w:r>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14:paraId="7BB03D19" w14:textId="77777777" w:rsidR="004A6C58" w:rsidRDefault="00121BAB">
      <w:pPr>
        <w:pStyle w:val="Heading2"/>
      </w:pPr>
      <w:r>
        <w:t xml:space="preserve">D.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14:paraId="53CCFCAB" w14:textId="7A5C28E9" w:rsidR="004A6C58" w:rsidRDefault="00121BAB">
      <w:pPr>
        <w:pStyle w:val="Heading2"/>
      </w:pPr>
      <w:r>
        <w:t>E.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14:paraId="7E182334" w14:textId="0DD97431"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t xml:space="preserve">Fig. </w:t>
      </w:r>
      <w:r>
        <w:rPr>
          <w:noProof/>
        </w:rPr>
        <w:t xml:space="preserve">4</w:t>
      </w:r>
      <w:r w:rsidR="00121BAB" w:rsidRPr="00F24D90">
        <w:fldChar w:fldCharType="end"/>
      </w:r>
      <w:r>
        <w:t xml:space="preserve"> presents a Local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r>
        <w:t xml:space="preserve">F. Open Intervention Space: Staged Adaptation</w:t>
      </w:r>
      <w:r>
        <w:t xml:space="preserve"/>
      </w:r>
    </w:p>
    <w:p w14:paraId="349FF8F1" w14:textId="1D6B1C9E" w:rsidR="004A6C58" w:rsidRDefault="00121BAB">
      <w:pPr>
        <w:pStyle w:val="Text"/>
      </w:pPr>
      <w:r>
        <w:t xml:space="preserve"/>
      </w:r>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r>
        <w:t xml:space="preserve"/>
      </w:r>
      <w:r w:rsidRPr="00F24D90">
        <w:t xml:space="preserve"/>
      </w:r>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14:paraId="72347C77" w14:textId="64968351" w:rsidR="00322A81" w:rsidRDefault="00322A81" w:rsidP="00CF451C">
      <w:pPr>
        <w:pStyle w:val="Text"/>
      </w:pPr>
      <w:r>
        <w:t xml:space="preserve"/>
      </w:r>
      <w:r>
        <w:t xml:space="preserve">Synthetic scenarios use 200 by 200 grids at 90 m resolution with terrain, settlements, roads, and capacity-limited bases; historical scenarios reconstruct the documented fires. Unless stated otherwise the engine runs with the thresholds of Section IV, a twelve-minute cycle, a shadow forecast basis of at least 45 minutes, and 50 Monte Carlo runs per condition, sensitivity being assessed one parameter at a time over five worlds, 880 runs in total.</w:t>
      </w:r>
      <w:r>
        <w:t xml:space="preserve">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r>
        <w:t xml:space="preserve"/>
      </w:r>
      <w:r>
        <w:t xml:space="preserve"/>
      </w:r>
      <w:r>
        <w:t xml:space="preserve"/>
      </w:r>
      <w:r w:rsidR="00F05500" w:rsidRPr="00F05500">
        <w:fldChar w:fldCharType="begin"/>
      </w:r>
      <w:r w:rsidR="00F05500" w:rsidRPr="00F05500">
        <w:instrText xml:space="preserve"> REF _Ref237017164 \h </w:instrText>
      </w:r>
      <w:r w:rsidR="00F05500" w:rsidRPr="00F05500">
        <w:instrText xml:space="preserve"> \* MERGEFORMAT </w:instrText>
      </w:r>
      <w:r w:rsidR="00F05500" w:rsidRPr="00F05500">
        <w:fldChar w:fldCharType="separate"/>
      </w:r>
      <w:r>
        <w:t xml:space="preserve">Fig. </w:t>
      </w:r>
      <w:r>
        <w:rPr>
          <w:noProof/>
        </w:rPr>
        <w:t xml:space="preserve">10</w:t>
      </w:r>
      <w:r w:rsidR="00F05500" w:rsidRPr="00F05500">
        <w:fldChar w:fldCharType="end"/>
      </w:r>
      <w:r>
        <w:t xml:space="preserve"/>
      </w:r>
      <w:r>
        <w:t xml:space="preserve"/>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14:paraId="72889100" w14:textId="609DEF99" w:rsidR="004A6C58" w:rsidRDefault="00CF451C" w:rsidP="00835954">
      <w:pPr>
        <w:pStyle w:val="Text"/>
      </w:pP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r>
                              <w:rPr>
                                <w:b/>
                                <w:bCs/>
                              </w:rPr>
                              <w:t xml:space="preserve">.</w:t>
                            </w:r>
                            <w:r>
                              <w:t xml:space="preserve"> Average burned-area, burned-forest, and affected-population evolution of the four configurations under the five scenarios.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r>
                        <w:rPr>
                          <w:b/>
                          <w:bCs/>
                        </w:rPr>
                        <w:t xml:space="preserve">.</w:t>
                      </w:r>
                      <w:r>
                        <w:t xml:space="preserve"> Average burned-area, burned-forest, and affected-population evolution of the four configurations under the five scenarios.</w:t>
                      </w:r>
                    </w:p>
                  </w:txbxContent>
                </v:textbox>
                <w10:wrap type="topAndBottom" anchorx="margin" anchory="margin"/>
              </v:shape>
            </w:pict>
          </mc:Fallback>
        </mc:AlternateContent>
      </w: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t>
      </w:r>
      <w:r w:rsidR="00121BAB">
        <w:fldChar w:fldCharType="begin"/>
      </w:r>
      <w:r w:rsidR="00121BAB">
        <w:instrText xml:space="preserve"> REF _RefEqPhys \h </w:instrText>
      </w:r>
      <w:r w:rsidR="00121BAB">
        <w:fldChar w:fldCharType="separate"/>
      </w:r>
      <w:r>
        <w:t xml:space="preserve">( </w:t>
      </w:r>
      <w:r>
        <w:rPr>
          <w:noProof/>
        </w:rPr>
        <w:t xml:space="preserve">31</w:t>
      </w:r>
      <w:r>
        <w:t xml:space="preserve"> )</w:t>
      </w:r>
      <w:r w:rsidR="00121BAB">
        <w:fldChar w:fldCharType="end"/>
      </w:r>
      <w:r>
        <w:t xml:space="preserve">: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 all at critical fire weather. Table </w:t>
      </w:r>
      <w:r w:rsidR="00121BAB" w:rsidRPr="00F05500">
        <w:fldChar w:fldCharType="begin"/>
      </w:r>
      <w:r w:rsidR="00121BAB" w:rsidRPr="00F05500">
        <w:instrText xml:space="preserve"> REF _RefTabPerf \h </w:instrText>
      </w:r>
      <w:r w:rsidR="00F05500" w:rsidRPr="00F05500">
        <w:instrText xml:space="preserve"> \* MERGEFORMAT </w:instrText>
      </w:r>
      <w:r w:rsidR="00121BAB" w:rsidRPr="00F05500">
        <w:fldChar w:fldCharType="separate"/>
      </w:r>
      <w:r>
        <w:rPr>
          <w:noProof/>
        </w:rPr>
        <w:t xml:space="preserve">V</w:t>
      </w:r>
      <w:r w:rsidR="00121BAB" w:rsidRPr="00F05500">
        <w:fldChar w:fldCharType="end"/>
      </w:r>
      <w:r>
        <w:t xml:space="preserve"> reports the ladder, and </w:t>
      </w:r>
      <w:r w:rsidR="00F05500" w:rsidRPr="00F05500">
        <w:fldChar w:fldCharType="begin"/>
      </w:r>
      <w:r w:rsidR="00F05500" w:rsidRPr="00F05500">
        <w:instrText xml:space="preserve"> REF _Ref237017203 \h </w:instrText>
      </w:r>
      <w:r w:rsidR="00F05500" w:rsidRPr="00F05500">
        <w:instrText xml:space="preserve"> \* MERGEFORMAT </w:instrText>
      </w:r>
      <w:r w:rsidR="00F05500" w:rsidRPr="00F05500">
        <w:fldChar w:fldCharType="separate"/>
      </w:r>
      <w:r>
        <w:t xml:space="preserve">Fig. </w:t>
      </w:r>
      <w:r>
        <w:rPr>
          <w:noProof/>
        </w:rPr>
        <w:t xml:space="preserve">11</w:t>
      </w:r>
      <w:r w:rsidR="00F05500" w:rsidRPr="00F05500">
        <w:fldChar w:fldCharType="end"/>
      </w:r>
      <w:r>
        <w:t xml:space="preserve"> the average evolution. TF5 lowers the mean burned area from 220 ha under free burn to 84 ha (62 %) and the mean total cost from 0.446 to 0.185; TF5+Ev adds a consistent gain to 78 ha and 0.169, the saving coming from the delay term, since tuned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14:paraId="4B61D566" w14:textId="77777777" w:rsidR="004A6C58" w:rsidRDefault="00121BAB">
      <w:pPr>
        <w:pStyle w:val="TableTitle"/>
      </w:pPr>
      <w:r>
        <w:t xml:space="preserve">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trPr>
        <w:tc>
          <w:tcPr>
            <w:tcW w:w="1364" w:type="dxa"/>
          </w:tcPr>
          <w:p w14:paraId="034477AF" w14:textId="77777777" w:rsidR="004A6C58" w:rsidRDefault="00121BAB">
            <w:pPr>
              <w:jc w:val="both"/>
            </w:pPr>
            <w:r>
              <w:rPr>
                <w:b/>
                <w:sz w:val="16"/>
                <w:szCs w:val="16"/>
              </w:rPr>
              <w:t xml:space="preserve">Scenario</w:t>
            </w:r>
          </w:p>
        </w:tc>
        <w:tc>
          <w:tcPr>
            <w:tcW w:w="746" w:type="dxa"/>
          </w:tcPr>
          <w:p w14:paraId="74B02EF1" w14:textId="77777777" w:rsidR="004A6C58" w:rsidRDefault="00121BAB">
            <w:pPr>
              <w:jc w:val="center"/>
            </w:pPr>
            <w:r>
              <w:rPr>
                <w:b/>
                <w:sz w:val="16"/>
                <w:szCs w:val="16"/>
              </w:rPr>
              <w:t xml:space="preserve">T0</w:t>
            </w:r>
          </w:p>
        </w:tc>
        <w:tc>
          <w:tcPr>
            <w:tcW w:w="960" w:type="dxa"/>
          </w:tcPr>
          <w:p w14:paraId="2605C080" w14:textId="77777777" w:rsidR="004A6C58" w:rsidRDefault="00121BAB">
            <w:pPr>
              <w:jc w:val="center"/>
            </w:pPr>
            <w:r>
              <w:rPr>
                <w:b/>
                <w:sz w:val="16"/>
                <w:szCs w:val="16"/>
              </w:rPr>
              <w:t xml:space="preserve">TF5</w:t>
            </w:r>
          </w:p>
        </w:tc>
        <w:tc>
          <w:tcPr>
            <w:tcW w:w="960" w:type="dxa"/>
          </w:tcPr>
          <w:p w14:paraId="45B6BD1A" w14:textId="77777777" w:rsidR="004A6C58" w:rsidRDefault="00121BAB">
            <w:pPr>
              <w:jc w:val="center"/>
            </w:pPr>
            <w:r>
              <w:rPr>
                <w:b/>
                <w:sz w:val="16"/>
                <w:szCs w:val="16"/>
              </w:rPr>
              <w:t xml:space="preserve">TF5+Ev</w:t>
            </w:r>
          </w:p>
        </w:tc>
        <w:tc>
          <w:tcPr>
            <w:tcW w:w="970" w:type="dxa"/>
          </w:tcPr>
          <w:p w14:paraId="0E8156AE" w14:textId="77777777" w:rsidR="004A6C58" w:rsidRDefault="00121BAB">
            <w:pPr>
              <w:jc w:val="center"/>
            </w:pPr>
            <w:r>
              <w:rPr>
                <w:b/>
                <w:sz w:val="16"/>
                <w:szCs w:val="16"/>
              </w:rPr>
              <w:t xml:space="preserve">Full</w:t>
            </w:r>
          </w:p>
        </w:tc>
      </w:tr>
      <w:tr w:rsidR="004A6C58" w14:paraId="67DB6555" w14:textId="77777777" w:rsidTr="00CF451C">
        <w:trPr>
          <w:jc w:val="center"/>
        </w:trPr>
        <w:tc>
          <w:tcPr>
            <w:tcW w:w="1364" w:type="dxa"/>
          </w:tcPr>
          <w:p w14:paraId="44411EE2" w14:textId="77777777" w:rsidR="004A6C58" w:rsidRDefault="00121BAB">
            <w:pPr>
              <w:jc w:val="both"/>
            </w:pPr>
            <w:r>
              <w:rPr>
                <w:b/>
                <w:sz w:val="16"/>
                <w:szCs w:val="16"/>
              </w:rPr>
              <w:t xml:space="preserve">S1 burned (ha)</w:t>
            </w:r>
          </w:p>
        </w:tc>
        <w:tc>
          <w:tcPr>
            <w:tcW w:w="746" w:type="dxa"/>
          </w:tcPr>
          <w:p w14:paraId="114AAD61" w14:textId="77777777" w:rsidR="004A6C58" w:rsidRDefault="00121BAB">
            <w:pPr>
              <w:jc w:val="center"/>
            </w:pPr>
            <w:r>
              <w:rPr>
                <w:sz w:val="16"/>
                <w:szCs w:val="16"/>
              </w:rPr>
              <w:t xml:space="preserve">243.3</w:t>
            </w:r>
          </w:p>
        </w:tc>
        <w:tc>
          <w:tcPr>
            <w:tcW w:w="960" w:type="dxa"/>
          </w:tcPr>
          <w:p w14:paraId="78EA1D94" w14:textId="77777777" w:rsidR="004A6C58" w:rsidRDefault="00121BAB">
            <w:pPr>
              <w:jc w:val="center"/>
            </w:pPr>
            <w:r>
              <w:rPr>
                <w:sz w:val="16"/>
                <w:szCs w:val="16"/>
              </w:rPr>
              <w:t xml:space="preserve">96.7</w:t>
            </w:r>
          </w:p>
        </w:tc>
        <w:tc>
          <w:tcPr>
            <w:tcW w:w="960" w:type="dxa"/>
          </w:tcPr>
          <w:p w14:paraId="487DB193" w14:textId="77777777" w:rsidR="004A6C58" w:rsidRDefault="00121BAB">
            <w:pPr>
              <w:jc w:val="center"/>
            </w:pPr>
            <w:r>
              <w:rPr>
                <w:sz w:val="16"/>
                <w:szCs w:val="16"/>
              </w:rPr>
              <w:t xml:space="preserve">84.7</w:t>
            </w:r>
          </w:p>
        </w:tc>
        <w:tc>
          <w:tcPr>
            <w:tcW w:w="970" w:type="dxa"/>
          </w:tcPr>
          <w:p w14:paraId="19122328" w14:textId="77777777" w:rsidR="004A6C58" w:rsidRDefault="00121BAB">
            <w:pPr>
              <w:jc w:val="center"/>
            </w:pPr>
            <w:r>
              <w:rPr>
                <w:sz w:val="16"/>
                <w:szCs w:val="16"/>
              </w:rPr>
              <w:t xml:space="preserve">22.8</w:t>
            </w:r>
          </w:p>
        </w:tc>
      </w:tr>
      <w:tr w:rsidR="004A6C58" w14:paraId="2CA321E0" w14:textId="77777777" w:rsidTr="00CF451C">
        <w:trPr>
          <w:jc w:val="center"/>
        </w:trPr>
        <w:tc>
          <w:tcPr>
            <w:tcW w:w="1364" w:type="dxa"/>
          </w:tcPr>
          <w:p w14:paraId="66CB69BC" w14:textId="77777777" w:rsidR="004A6C58" w:rsidRDefault="00121BAB">
            <w:pPr>
              <w:jc w:val="both"/>
            </w:pPr>
            <w:r>
              <w:rPr>
                <w:b/>
                <w:sz w:val="16"/>
                <w:szCs w:val="16"/>
              </w:rPr>
              <w:t xml:space="preserve">S2 burned (ha)</w:t>
            </w:r>
          </w:p>
        </w:tc>
        <w:tc>
          <w:tcPr>
            <w:tcW w:w="746" w:type="dxa"/>
          </w:tcPr>
          <w:p w14:paraId="24A434CE" w14:textId="77777777" w:rsidR="004A6C58" w:rsidRDefault="00121BAB">
            <w:pPr>
              <w:jc w:val="center"/>
            </w:pPr>
            <w:r>
              <w:rPr>
                <w:sz w:val="16"/>
                <w:szCs w:val="16"/>
              </w:rPr>
              <w:t xml:space="preserve">242.2</w:t>
            </w:r>
          </w:p>
        </w:tc>
        <w:tc>
          <w:tcPr>
            <w:tcW w:w="960" w:type="dxa"/>
          </w:tcPr>
          <w:p w14:paraId="4A8A7EB4" w14:textId="77777777" w:rsidR="004A6C58" w:rsidRDefault="00121BAB">
            <w:pPr>
              <w:jc w:val="center"/>
            </w:pPr>
            <w:r>
              <w:rPr>
                <w:sz w:val="16"/>
                <w:szCs w:val="16"/>
              </w:rPr>
              <w:t xml:space="preserve">157.3</w:t>
            </w:r>
          </w:p>
        </w:tc>
        <w:tc>
          <w:tcPr>
            <w:tcW w:w="960" w:type="dxa"/>
          </w:tcPr>
          <w:p w14:paraId="3E2B9E40" w14:textId="77777777" w:rsidR="004A6C58" w:rsidRDefault="00121BAB">
            <w:pPr>
              <w:jc w:val="center"/>
            </w:pPr>
            <w:r>
              <w:rPr>
                <w:sz w:val="16"/>
                <w:szCs w:val="16"/>
              </w:rPr>
              <w:t xml:space="preserve">154.6</w:t>
            </w:r>
          </w:p>
        </w:tc>
        <w:tc>
          <w:tcPr>
            <w:tcW w:w="970" w:type="dxa"/>
          </w:tcPr>
          <w:p w14:paraId="2A62D571" w14:textId="77777777" w:rsidR="004A6C58" w:rsidRDefault="00121BAB">
            <w:pPr>
              <w:jc w:val="center"/>
            </w:pPr>
            <w:r>
              <w:rPr>
                <w:sz w:val="16"/>
                <w:szCs w:val="16"/>
              </w:rPr>
              <w:t xml:space="preserve">84.8</w:t>
            </w:r>
          </w:p>
        </w:tc>
      </w:tr>
      <w:tr w:rsidR="004A6C58" w14:paraId="09D978E1" w14:textId="77777777" w:rsidTr="00CF451C">
        <w:trPr>
          <w:jc w:val="center"/>
        </w:trPr>
        <w:tc>
          <w:tcPr>
            <w:tcW w:w="1364" w:type="dxa"/>
          </w:tcPr>
          <w:p w14:paraId="09574F57" w14:textId="77777777" w:rsidR="004A6C58" w:rsidRDefault="00121BAB">
            <w:pPr>
              <w:jc w:val="both"/>
            </w:pPr>
            <w:r>
              <w:rPr>
                <w:b/>
                <w:sz w:val="16"/>
                <w:szCs w:val="16"/>
              </w:rPr>
              <w:t xml:space="preserve">S3 burned (ha)</w:t>
            </w:r>
          </w:p>
        </w:tc>
        <w:tc>
          <w:tcPr>
            <w:tcW w:w="746" w:type="dxa"/>
          </w:tcPr>
          <w:p w14:paraId="758B8296" w14:textId="77777777" w:rsidR="004A6C58" w:rsidRDefault="00121BAB">
            <w:pPr>
              <w:jc w:val="center"/>
            </w:pPr>
            <w:r>
              <w:rPr>
                <w:sz w:val="16"/>
                <w:szCs w:val="16"/>
              </w:rPr>
              <w:t xml:space="preserve">178.9</w:t>
            </w:r>
          </w:p>
        </w:tc>
        <w:tc>
          <w:tcPr>
            <w:tcW w:w="960" w:type="dxa"/>
          </w:tcPr>
          <w:p w14:paraId="041DA75C" w14:textId="77777777" w:rsidR="004A6C58" w:rsidRDefault="00121BAB">
            <w:pPr>
              <w:jc w:val="center"/>
            </w:pPr>
            <w:r>
              <w:rPr>
                <w:sz w:val="16"/>
                <w:szCs w:val="16"/>
              </w:rPr>
              <w:t xml:space="preserve">28.0</w:t>
            </w:r>
          </w:p>
        </w:tc>
        <w:tc>
          <w:tcPr>
            <w:tcW w:w="960" w:type="dxa"/>
          </w:tcPr>
          <w:p w14:paraId="00AA396F" w14:textId="77777777" w:rsidR="004A6C58" w:rsidRDefault="00121BAB">
            <w:pPr>
              <w:jc w:val="center"/>
            </w:pPr>
            <w:r>
              <w:rPr>
                <w:sz w:val="16"/>
                <w:szCs w:val="16"/>
              </w:rPr>
              <w:t xml:space="preserve">30.5</w:t>
            </w:r>
          </w:p>
        </w:tc>
        <w:tc>
          <w:tcPr>
            <w:tcW w:w="970" w:type="dxa"/>
          </w:tcPr>
          <w:p w14:paraId="1D6A15F7" w14:textId="77777777" w:rsidR="004A6C58" w:rsidRDefault="00121BAB">
            <w:pPr>
              <w:jc w:val="center"/>
            </w:pPr>
            <w:r>
              <w:rPr>
                <w:sz w:val="16"/>
                <w:szCs w:val="16"/>
              </w:rPr>
              <w:t xml:space="preserve">11.4</w:t>
            </w:r>
          </w:p>
        </w:tc>
      </w:tr>
      <w:tr w:rsidR="004A6C58" w14:paraId="16DB8F36" w14:textId="77777777" w:rsidTr="00CF451C">
        <w:trPr>
          <w:jc w:val="center"/>
        </w:trPr>
        <w:tc>
          <w:tcPr>
            <w:tcW w:w="1364" w:type="dxa"/>
          </w:tcPr>
          <w:p w14:paraId="76FF0E0A" w14:textId="77777777" w:rsidR="004A6C58" w:rsidRDefault="00121BAB">
            <w:pPr>
              <w:jc w:val="both"/>
            </w:pPr>
            <w:r>
              <w:rPr>
                <w:b/>
                <w:sz w:val="16"/>
                <w:szCs w:val="16"/>
              </w:rPr>
              <w:t xml:space="preserve">S4 burned (ha)</w:t>
            </w:r>
          </w:p>
        </w:tc>
        <w:tc>
          <w:tcPr>
            <w:tcW w:w="746" w:type="dxa"/>
          </w:tcPr>
          <w:p w14:paraId="31CA83F7" w14:textId="77777777" w:rsidR="004A6C58" w:rsidRDefault="00121BAB">
            <w:pPr>
              <w:jc w:val="center"/>
            </w:pPr>
            <w:r>
              <w:rPr>
                <w:sz w:val="16"/>
                <w:szCs w:val="16"/>
              </w:rPr>
              <w:t xml:space="preserve">218.1</w:t>
            </w:r>
          </w:p>
        </w:tc>
        <w:tc>
          <w:tcPr>
            <w:tcW w:w="960" w:type="dxa"/>
          </w:tcPr>
          <w:p w14:paraId="4135735F" w14:textId="77777777" w:rsidR="004A6C58" w:rsidRDefault="00121BAB">
            <w:pPr>
              <w:jc w:val="center"/>
            </w:pPr>
            <w:r>
              <w:rPr>
                <w:sz w:val="16"/>
                <w:szCs w:val="16"/>
              </w:rPr>
              <w:t xml:space="preserve">66.2</w:t>
            </w:r>
          </w:p>
        </w:tc>
        <w:tc>
          <w:tcPr>
            <w:tcW w:w="960" w:type="dxa"/>
          </w:tcPr>
          <w:p w14:paraId="3A97D8C8" w14:textId="77777777" w:rsidR="004A6C58" w:rsidRDefault="00121BAB">
            <w:pPr>
              <w:jc w:val="center"/>
            </w:pPr>
            <w:r>
              <w:rPr>
                <w:sz w:val="16"/>
                <w:szCs w:val="16"/>
              </w:rPr>
              <w:t xml:space="preserve">54.6</w:t>
            </w:r>
          </w:p>
        </w:tc>
        <w:tc>
          <w:tcPr>
            <w:tcW w:w="970" w:type="dxa"/>
          </w:tcPr>
          <w:p w14:paraId="6E643F41" w14:textId="77777777" w:rsidR="004A6C58" w:rsidRDefault="00121BAB">
            <w:pPr>
              <w:jc w:val="center"/>
            </w:pPr>
            <w:r>
              <w:rPr>
                <w:sz w:val="16"/>
                <w:szCs w:val="16"/>
              </w:rPr>
              <w:t xml:space="preserve">35.7</w:t>
            </w:r>
          </w:p>
        </w:tc>
      </w:tr>
      <w:tr w:rsidR="004A6C58" w14:paraId="5C877075" w14:textId="77777777" w:rsidTr="00CF451C">
        <w:trPr>
          <w:jc w:val="center"/>
        </w:trPr>
        <w:tc>
          <w:tcPr>
            <w:tcW w:w="1364" w:type="dxa"/>
          </w:tcPr>
          <w:p w14:paraId="0011C1FE" w14:textId="77777777" w:rsidR="004A6C58" w:rsidRDefault="00121BAB">
            <w:pPr>
              <w:jc w:val="both"/>
            </w:pPr>
            <w:r>
              <w:rPr>
                <w:b/>
                <w:sz w:val="16"/>
                <w:szCs w:val="16"/>
              </w:rPr>
              <w:t xml:space="preserve">S5 burned (ha)</w:t>
            </w:r>
          </w:p>
        </w:tc>
        <w:tc>
          <w:tcPr>
            <w:tcW w:w="746" w:type="dxa"/>
          </w:tcPr>
          <w:p w14:paraId="444BE9AA" w14:textId="77777777" w:rsidR="004A6C58" w:rsidRDefault="00121BAB">
            <w:pPr>
              <w:jc w:val="center"/>
            </w:pPr>
            <w:r>
              <w:rPr>
                <w:sz w:val="16"/>
                <w:szCs w:val="16"/>
              </w:rPr>
              <w:t xml:space="preserve">218.1</w:t>
            </w:r>
          </w:p>
        </w:tc>
        <w:tc>
          <w:tcPr>
            <w:tcW w:w="960" w:type="dxa"/>
          </w:tcPr>
          <w:p w14:paraId="2F500809" w14:textId="77777777" w:rsidR="004A6C58" w:rsidRDefault="00121BAB">
            <w:pPr>
              <w:jc w:val="center"/>
            </w:pPr>
            <w:r>
              <w:rPr>
                <w:sz w:val="16"/>
                <w:szCs w:val="16"/>
              </w:rPr>
              <w:t xml:space="preserve">69.3</w:t>
            </w:r>
          </w:p>
        </w:tc>
        <w:tc>
          <w:tcPr>
            <w:tcW w:w="960" w:type="dxa"/>
          </w:tcPr>
          <w:p w14:paraId="2C510A40" w14:textId="77777777" w:rsidR="004A6C58" w:rsidRDefault="00121BAB">
            <w:pPr>
              <w:jc w:val="center"/>
            </w:pPr>
            <w:r>
              <w:rPr>
                <w:sz w:val="16"/>
                <w:szCs w:val="16"/>
              </w:rPr>
              <w:t xml:space="preserve">66.3</w:t>
            </w:r>
          </w:p>
        </w:tc>
        <w:tc>
          <w:tcPr>
            <w:tcW w:w="970" w:type="dxa"/>
          </w:tcPr>
          <w:p w14:paraId="3C030FF1" w14:textId="77777777" w:rsidR="004A6C58" w:rsidRDefault="00121BAB">
            <w:pPr>
              <w:jc w:val="center"/>
            </w:pPr>
            <w:r>
              <w:rPr>
                <w:sz w:val="16"/>
                <w:szCs w:val="16"/>
              </w:rPr>
              <w:t xml:space="preserve">39.3</w:t>
            </w:r>
          </w:p>
        </w:tc>
      </w:tr>
      <w:tr w:rsidR="004A6C58" w14:paraId="23027886" w14:textId="77777777" w:rsidTr="00CF451C">
        <w:trPr>
          <w:jc w:val="center"/>
        </w:trPr>
        <w:tc>
          <w:tcPr>
            <w:tcW w:w="1364" w:type="dxa"/>
          </w:tcPr>
          <w:p w14:paraId="52F22586" w14:textId="77777777" w:rsidR="004A6C58" w:rsidRDefault="00121BAB">
            <w:pPr>
              <w:jc w:val="both"/>
            </w:pPr>
            <w:r>
              <w:rPr>
                <w:b/>
                <w:sz w:val="16"/>
                <w:szCs w:val="16"/>
              </w:rPr>
              <w:t xml:space="preserve">Mean </w:t>
            </w:r>
            <w:proofErr w:type="spellStart"/>
            <w:r>
              <w:rPr>
                <w:b/>
                <w:sz w:val="16"/>
                <w:szCs w:val="16"/>
              </w:rPr>
              <w:t xml:space="preserve">Jphys</w:t>
            </w:r>
            <w:proofErr w:type="spellEnd"/>
          </w:p>
        </w:tc>
        <w:tc>
          <w:tcPr>
            <w:tcW w:w="746" w:type="dxa"/>
          </w:tcPr>
          <w:p w14:paraId="2E966A89" w14:textId="77777777" w:rsidR="004A6C58" w:rsidRDefault="00121BAB">
            <w:pPr>
              <w:jc w:val="center"/>
            </w:pPr>
            <w:r>
              <w:rPr>
                <w:sz w:val="16"/>
                <w:szCs w:val="16"/>
              </w:rPr>
              <w:t xml:space="preserve">0.506</w:t>
            </w:r>
          </w:p>
        </w:tc>
        <w:tc>
          <w:tcPr>
            <w:tcW w:w="960" w:type="dxa"/>
          </w:tcPr>
          <w:p w14:paraId="5B81CFFA" w14:textId="77777777" w:rsidR="004A6C58" w:rsidRDefault="00121BAB">
            <w:pPr>
              <w:jc w:val="center"/>
            </w:pPr>
            <w:r>
              <w:rPr>
                <w:sz w:val="16"/>
                <w:szCs w:val="16"/>
              </w:rPr>
              <w:t xml:space="preserve">0.163</w:t>
            </w:r>
          </w:p>
        </w:tc>
        <w:tc>
          <w:tcPr>
            <w:tcW w:w="960" w:type="dxa"/>
          </w:tcPr>
          <w:p w14:paraId="1E148B3B" w14:textId="77777777" w:rsidR="004A6C58" w:rsidRDefault="00121BAB">
            <w:pPr>
              <w:jc w:val="center"/>
            </w:pPr>
            <w:r>
              <w:rPr>
                <w:sz w:val="16"/>
                <w:szCs w:val="16"/>
              </w:rPr>
              <w:t xml:space="preserve">0.151</w:t>
            </w:r>
          </w:p>
        </w:tc>
        <w:tc>
          <w:tcPr>
            <w:tcW w:w="970" w:type="dxa"/>
          </w:tcPr>
          <w:p w14:paraId="152E0F02" w14:textId="77777777" w:rsidR="004A6C58" w:rsidRDefault="00121BAB">
            <w:pPr>
              <w:jc w:val="center"/>
            </w:pPr>
            <w:r>
              <w:rPr>
                <w:sz w:val="16"/>
                <w:szCs w:val="16"/>
              </w:rPr>
              <w:t xml:space="preserve">0.090</w:t>
            </w:r>
          </w:p>
        </w:tc>
      </w:tr>
      <w:tr w:rsidR="004A6C58" w14:paraId="016FD34B" w14:textId="77777777" w:rsidTr="00CF451C">
        <w:trPr>
          <w:jc w:val="center"/>
        </w:trPr>
        <w:tc>
          <w:tcPr>
            <w:tcW w:w="1364" w:type="dxa"/>
          </w:tcPr>
          <w:p w14:paraId="30D67A62" w14:textId="77777777" w:rsidR="004A6C58" w:rsidRDefault="00121BAB">
            <w:pPr>
              <w:jc w:val="both"/>
            </w:pPr>
            <w:r>
              <w:rPr>
                <w:b/>
                <w:sz w:val="16"/>
                <w:szCs w:val="16"/>
              </w:rPr>
              <w:t xml:space="preserve">Mean </w:t>
            </w:r>
            <w:proofErr w:type="spellStart"/>
            <w:r>
              <w:rPr>
                <w:b/>
                <w:sz w:val="16"/>
                <w:szCs w:val="16"/>
              </w:rPr>
              <w:t xml:space="preserve">Jtotal</w:t>
            </w:r>
            <w:proofErr w:type="spellEnd"/>
          </w:p>
        </w:tc>
        <w:tc>
          <w:tcPr>
            <w:tcW w:w="746" w:type="dxa"/>
          </w:tcPr>
          <w:p w14:paraId="2F21C2F1" w14:textId="77777777" w:rsidR="004A6C58" w:rsidRDefault="00121BAB">
            <w:pPr>
              <w:jc w:val="center"/>
            </w:pPr>
            <w:r>
              <w:rPr>
                <w:sz w:val="16"/>
                <w:szCs w:val="16"/>
              </w:rPr>
              <w:t xml:space="preserve">0.446</w:t>
            </w:r>
          </w:p>
        </w:tc>
        <w:tc>
          <w:tcPr>
            <w:tcW w:w="960" w:type="dxa"/>
          </w:tcPr>
          <w:p w14:paraId="3D405A03" w14:textId="77777777" w:rsidR="004A6C58" w:rsidRDefault="00121BAB">
            <w:pPr>
              <w:jc w:val="center"/>
            </w:pPr>
            <w:r>
              <w:rPr>
                <w:sz w:val="16"/>
                <w:szCs w:val="16"/>
              </w:rPr>
              <w:t xml:space="preserve">0.185</w:t>
            </w:r>
          </w:p>
        </w:tc>
        <w:tc>
          <w:tcPr>
            <w:tcW w:w="960" w:type="dxa"/>
          </w:tcPr>
          <w:p w14:paraId="68CA0359" w14:textId="77777777" w:rsidR="004A6C58" w:rsidRDefault="00121BAB">
            <w:pPr>
              <w:jc w:val="center"/>
            </w:pPr>
            <w:r>
              <w:rPr>
                <w:sz w:val="16"/>
                <w:szCs w:val="16"/>
              </w:rPr>
              <w:t xml:space="preserve">0.169</w:t>
            </w:r>
          </w:p>
        </w:tc>
        <w:tc>
          <w:tcPr>
            <w:tcW w:w="970" w:type="dxa"/>
          </w:tcPr>
          <w:p w14:paraId="28EF5A81" w14:textId="77777777" w:rsidR="004A6C58" w:rsidRDefault="00121BAB">
            <w:pPr>
              <w:jc w:val="center"/>
            </w:pPr>
            <w:r>
              <w:rPr>
                <w:sz w:val="16"/>
                <w:szCs w:val="16"/>
              </w:rPr>
              <w:t xml:space="preserve">0.112</w:t>
            </w:r>
          </w:p>
        </w:tc>
      </w:tr>
    </w:tbl>
    <w:p w14:paraId="3A09A236" w14:textId="77777777" w:rsidR="004A6C58" w:rsidRDefault="00121BAB">
      <w:pPr>
        <w:pStyle w:val="Heading2"/>
      </w:pPr>
      <w:r>
        <w:t xml:space="preserve"/>
      </w:r>
      <w:r>
        <w:t xml:space="preserve">D. Open Intervention Space in Operation</w:t>
      </w:r>
      <w:r>
        <w:t xml:space="preserve"/>
      </w:r>
    </w:p>
    <w:p w14:paraId="2EBB578D" w14:textId="701AD753" w:rsidR="00F05500" w:rsidRDefault="00803259" w:rsidP="00803259">
      <w:pPr>
        <w:pStyle w:val="Text"/>
      </w:pPr>
      <w:r>
        <w: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interventions 151745 reached the field: the fail-safe engaged in 5338 region cycles and the no-harm veto held the offensive channels in 113. </w:t>
      </w:r>
      <w:r w:rsidR="00F05500" w:rsidRPr="00F05500">
        <w:fldChar w:fldCharType="begin"/>
      </w:r>
      <w:r w:rsidR="00F05500" w:rsidRPr="00F05500">
        <w:instrText xml:space="preserve"> REF _Ref237017260 \h </w:instrText>
      </w:r>
      <w:r w:rsidR="00F05500" w:rsidRPr="00F05500">
        <w:instrText xml:space="preserve"> \* MERGEFORMAT </w:instrText>
      </w:r>
      <w:r w:rsidR="00F05500" w:rsidRPr="00F05500">
        <w:fldChar w:fldCharType="separate"/>
      </w:r>
      <w:r>
        <w:t xml:space="preserve">Fig. </w:t>
      </w:r>
      <w:r>
        <w:rPr>
          <w:noProof/>
        </w:rPr>
        <w:t xml:space="preserve">12</w:t>
      </w:r>
      <w:r w:rsidR="00F05500" w:rsidRPr="00F05500">
        <w:fldChar w:fldCharType="end"/>
      </w:r>
      <w:r>
        <w:t xml:space="preserve"> shows the two evolving-fuzzy funnels and the generative cascade. </w:t>
      </w:r>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r>
        <w:t xml:space="preserve"/>
      </w:r>
    </w:p>
    <w:p w14:paraId="309B4CD0" w14:textId="00B6C2B7" w:rsidR="004A6C58" w:rsidRDefault="006E372D" w:rsidP="006E372D">
      <w:pPr>
        <w:pStyle w:val="Heading2"/>
      </w:pP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r>
        <w:t xml:space="preserve">F. Timeliness and Scalability</w: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r>
        <w:t xml:space="preserve"/>
      </w:r>
    </w:p>
    <w:p>
      <w:pPr>
        <w:pStyle w:val="Text"/>
        <w:rPr/>
      </w:pPr>
      <w:r>
        <w:t xml:space="preserve">The decision layer is also compared with an external reference: a value-weighted greedy allocation that shares the simulator, the worlds, the seeds, the resource pool, and the actuation mapping, and differs only in the decision. Every cycle it commits the pool toward the regions carrying the highest value at risk near the fire, at full intensity, with no forecast, no acceptance test, and no life-safety channel. Fig. 14 places it beside the internal configurations on the five scenarios. On raw burned area the greedy reference is strong: with the same fire location every arm of this campaign receives, an immediate full commitment ends most episodes early, and the response term prices only the time integral of committed force, so the early surge is barely charged. Its margin narrows on the capacity-limited scenarios, and it issues no evacuation or warning order in any of the fifty runs, since it has no channel for them. The comparison therefore bounds what undivided aggression buys in this cost model, and locates the contribution of the architecture in what the reference cannot produce: screened orders that remain auditable, restraint under a capacity or observation deficit, and the life-safety channels.</w:t>
      </w:r>
    </w:p>
    <w:p>
      <w:pPr>
        <w:jc w:val="center"/>
        <w:rPr/>
      </w:pPr>
      <w:r>
        <w:drawing>
          <wp:inline xmlns:wp="http://schemas.openxmlformats.org/drawingml/2006/wordprocessingDrawing" distT="0" distB="0" distL="0" distR="0">
            <wp:extent cx="3154680" cy="2148840"/>
            <wp:effectExtent l="0" t="0" r="0" b="0"/>
            <wp:docPr id="64149" name="Fig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 name="FigGreedy"/>
                    <pic:cNvPicPr/>
                  </pic:nvPicPr>
                  <pic:blipFill>
                    <a:blip xmlns:r="http://schemas.openxmlformats.org/officeDocument/2006/relationships" r:embed="rId29"/>
                    <a:stretch>
                      <a:fillRect/>
                    </a:stretch>
                  </pic:blipFill>
                  <pic:spPr>
                    <a:xfrm>
                      <a:off x="0" y="0"/>
                      <a:ext cx="3154680" cy="2148840"/>
                    </a:xfrm>
                    <a:prstGeom prst="rect">
                      <a:avLst/>
                    </a:prstGeom>
                  </pic:spPr>
                </pic:pic>
              </a:graphicData>
            </a:graphic>
          </wp:inline>
        </w:drawing>
      </w:r>
    </w:p>
    <w:p>
      <w:pPr>
        <w:pStyle w:val="FigureCaption"/>
        <w:rPr/>
      </w:pPr>
      <w:r>
        <w:t xml:space="preserve">Fig. 14. Burned area at episode end for the external greedy reference and the internal configurations over the five scenarios; bars are means over ten worlds with 95 % confidence intervals.</w:t>
      </w:r>
    </w:p>
    <w:p w14:paraId="0755E46E" w14:textId="77777777" w:rsidR="004A6C58" w:rsidRDefault="00121BAB">
      <w:pPr>
        <w:pStyle w:val="Heading2"/>
      </w:pPr>
      <w:r>
        <w:t xml:space="preserve"/>
      </w:r>
      <w:r>
        <w:t xml:space="preserve">E. Compliance with the Evaluation Criteria</w:t>
      </w:r>
      <w:r>
        <w:t xml:space="preserve"/>
      </w:r>
    </w:p>
    <w:p w14:paraId="0216AD1F" w14:textId="39C63DEC" w:rsidR="00322A81" w:rsidRDefault="00322A81">
      <w:pPr>
        <w:pStyle w:val="Text"/>
      </w:pPr>
      <w:r>
        <w: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w:t>
      </w:r>
      <w:r>
        <w:t xml:space="preserve">lowest among the internal references in every scenario</w:t>
      </w:r>
      <w:r>
        <w:t xml:space="preserve">. Timeliness is met with a median decision of 274 </w:t>
      </w:r>
      <w:proofErr w:type="spellStart"/>
      <w:r>
        <w:t xml:space="preserve">ms</w:t>
      </w:r>
      <w:proofErr w:type="spellEnd"/>
      <w:r>
        <w:t xml:space="preserve"/>
      </w:r>
      <w:r>
        <w:t xml:space="preserve"> against a twelve-minute cycle, scalability with one decision costing 0.02 to 0.16 % of the cycle and sixteen times the agents costing at most 1.29 times, and robustness with the full configuration losing 10 % under degraded observation while remaining the best tested. Uncertainty handling is structural, every feature carrying a confidence that gates its concept; adaptability shows in 129 of 616 stage-1 and 40 of 359 stage-2 trials kept and 47 admissions plus seven sited interventions; explainability in every edit, rejection, and generated object being logged with its trigger, gate, and consuming rule. </w:t>
      </w:r>
      <w:r>
        <w:t xml:space="preserve"/>
      </w:r>
      <w:r>
        <w:t xml:space="preserve">Four criteria are met in full and four on the axis measured here: the hindcast base covers four fires, noise and communication failure are untested, operator-facing interpretability is not evaluated, and uncertainty is carried into the decision but not propagated as an ensemble.</w:t>
      </w:r>
      <w:r>
        <w:t xml:space="preserve"/>
      </w:r>
    </w:p>
    <w:p>
      <w:pPr>
        <w:pStyle w:val="Heading1"/>
        <w:rPr/>
      </w:pPr>
      <w:r>
        <w:t xml:space="preserve">VI. Discussion: Systems Lessons and Limitations</w:t>
      </w:r>
    </w:p>
    <w:p>
      <w:pPr>
        <w:pStyle w:val="Text"/>
        <w:rPr/>
      </w:pPr>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seeds. Second, a vocabulary of orders that grows at runtime is safe only when admission is decided by gates that do not trust the proposer; four proposals in five are rejected here, and that selectivity is why the admitted objects can be fielded. Third, keeping inference in the regional agents and out of the coordinator held the cost per decision almost flat as the number of agents grew, which is the property an incident of national scale requires.</w:t>
      </w:r>
    </w:p>
    <w:p>
      <w:pPr>
        <w:pStyle w:val="Text"/>
        <w:rPr/>
      </w:pPr>
      <w:r>
        <w:t xml:space="preserve">Three limitations bound the claims. The evaluation is entirely simulated: the hazard model is validated on real records, but no order was executed in a real incident and no fire officer took part in the loop. The comparison base is largely internal, since no deployed tool generates interventions over an open space. Finally, generated proposals are not bitwise reproducible, although the campaign is logged with pinned configuration and seeds, and no admission depends on the proposer.</w:t>
      </w:r>
    </w:p>
    <w:p w14:paraId="57F3A5CA" w14:textId="77777777" w:rsidR="004A6C58" w:rsidRDefault="00121BAB">
      <w:pPr>
        <w:pStyle w:val="Heading1"/>
      </w:pPr>
      <w:r>
        <w:t xml:space="preserve"/>
      </w:r>
      <w:r>
        <w:t xml:space="preserve">VII. Conclusion and Future Work</w:t>
      </w:r>
      <w:r>
        <w:t xml:space="preserve"/>
      </w:r>
    </w:p>
    <w:p w14:paraId="1E50920C" w14:textId="349C0505" w:rsidR="00322A81" w:rsidRDefault="00322A81" w:rsidP="00322A81">
      <w:pPr>
        <w:pStyle w:val="Text"/>
      </w:pPr>
      <w:r>
        <w:t xml:space="preserve"/>
      </w:r>
      <w:r>
        <w:t xml:space="preserve">This article presented DisasterAware, a distributed decision-support architecture for wildfire response built on two separated cores. Ten confidence-gated features feed five decision concepts, a sparse Takagi-</w:t>
      </w:r>
      <w:r>
        <w:t xml:space="preserve"/>
      </w:r>
      <w:proofErr w:type="spellStart"/>
      <w:r>
        <w:t xml:space="preserve">Sugeno</w:t>
      </w:r>
      <w:proofErr w:type="spellEnd"/>
      <w:r>
        <w:t xml:space="preserve"/>
      </w:r>
      <w:r>
        <w: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which preserve the four invariants of Section IV-H. Measured against criteria fixed in advance, the open intervention space grows from five seeded rules to 40 rules, seven macros, one concept, and seven sited interventions, every addition passing a forecast test, and every fielded order </w:t>
      </w:r>
      <w:r>
        <w:t xml:space="preserve"/>
      </w:r>
      <w:r>
        <w:lastRenderedPageBreak/>
        <w: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t>
      </w:r>
      <w:proofErr w:type="gramStart"/>
      <w:r>
        <w:t xml:space="preserve">traces</w:t>
      </w:r>
      <w:proofErr w:type="gramEnd"/>
      <w:r>
        <w:t xml:space="preserve"/>
      </w:r>
      <w:r>
        <w:t xml:space="preserve"> to its concepts, rules, and confidences. On an independently validated core, whose four blind hindcasts agree with the satellite record at 86 to 94 percent, the decision layer lowers burned area from 220 to 39 ha and physical cost from 0.506 to 0.090 at 274 </w:t>
      </w:r>
      <w:r>
        <w:t xml:space="preserve"/>
      </w:r>
      <w:proofErr w:type="spellStart"/>
      <w:r>
        <w:t xml:space="preserve">ms</w:t>
      </w:r>
      <w:proofErr w:type="spellEnd"/>
      <w:r>
        <w:t xml:space="preserve"/>
      </w:r>
      <w:r>
        <w:t xml:space="preserve"> per decision.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scale study will grow the domain at fixed agent count.</w:t>
      </w:r>
      <w:r>
        <w:t xml:space="preserve"/>
      </w:r>
    </w:p>
    <w:p>
      <w:pPr>
        <w:pStyle w:val="Heading1"/>
        <w:numPr>
          <w:ilvl w:val="0"/>
          <w:numId w:val="0"/>
        </w:numPr>
        <w:rPr/>
      </w:pPr>
      <w:r>
        <w:t>Acknowledgment</w:t>
      </w:r>
    </w:p>
    <w:p>
      <w:pPr>
        <w:pStyle w:val="Text"/>
        <w:rPr/>
      </w:pPr>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jc w:val="both"/>
            <w:rPr>
              <w:sz w:val="16"/>
              <w:szCs w:val="16"/>
            </w:rPr>
          </w:pPr>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pPr>
            <w:jc w:val="both"/>
            <w:rPr>
              <w:sz w:val="16"/>
              <w:szCs w:val="16"/>
            </w:rPr>
          </w:pPr>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t>&gt; REPLACE THIS LINE WITH YOUR MANUSCRIPT ID NUMBER (DOUBLE-CLICK HERE TO EDIT) &lt;</w:t>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