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8e5715e783095a273726d80d2cb50ec392fea9"/>
      <w:r>
        <w:t xml:space="preserve">DisasterAware: Unused References and Suggested Placement</w:t>
      </w:r>
      <w:bookmarkEnd w:id="20"/>
    </w:p>
    <w:p>
      <w:pPr>
        <w:pStyle w:val="FirstParagraph"/>
      </w:pPr>
      <w:r>
        <w:t xml:space="preserve">The bibliography holds 63 sources; 39 are cited in the text and the 24 below are not yet cited. For each one the table gives its topic and a concrete place in the paper where it fits, so the citation can be added where it actually supports the argument rather than padded into a list.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Ref</w:t>
            </w:r>
          </w:p>
        </w:tc>
        <w:tc>
          <w:tcPr>
            <w:tcBorders>
              <w:bottom w:val="single"/>
            </w:tcBorders>
            <w:vAlign w:val="bottom"/>
          </w:tcPr>
          <w:p>
            <w:pPr>
              <w:pStyle w:val="Compact"/>
              <w:jc w:val="left"/>
            </w:pPr>
            <w:r>
              <w:t xml:space="preserve">Tag (Year)</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Where and how to cite</w:t>
            </w:r>
          </w:p>
        </w:tc>
      </w:tr>
      <w:tr>
        <w:tc>
          <w:p>
            <w:pPr>
              <w:pStyle w:val="Compact"/>
              <w:jc w:val="left"/>
            </w:pPr>
            <w:r>
              <w:t xml:space="preserve">[2]</w:t>
            </w:r>
          </w:p>
        </w:tc>
        <w:tc>
          <w:p>
            <w:pPr>
              <w:pStyle w:val="Compact"/>
              <w:jc w:val="left"/>
            </w:pPr>
            <w:r>
              <w:t xml:space="preserve">Jol15 (2015)</w:t>
            </w:r>
          </w:p>
        </w:tc>
        <w:tc>
          <w:p>
            <w:pPr>
              <w:pStyle w:val="Compact"/>
              <w:jc w:val="left"/>
            </w:pPr>
            <w:r>
              <w:t xml:space="preserve">Climate-driven rise in global wildfire danger</w:t>
            </w:r>
          </w:p>
        </w:tc>
        <w:tc>
          <w:p>
            <w:pPr>
              <w:pStyle w:val="Compact"/>
              <w:jc w:val="left"/>
            </w:pPr>
            <w:r>
              <w:t xml:space="preserve">Introduction, opening motivation that wildfire frequency and severity are increasing</w:t>
            </w:r>
          </w:p>
        </w:tc>
      </w:tr>
      <w:tr>
        <w:tc>
          <w:p>
            <w:pPr>
              <w:pStyle w:val="Compact"/>
              <w:jc w:val="left"/>
            </w:pPr>
            <w:r>
              <w:t xml:space="preserve">[4]</w:t>
            </w:r>
          </w:p>
        </w:tc>
        <w:tc>
          <w:p>
            <w:pPr>
              <w:pStyle w:val="Compact"/>
              <w:jc w:val="left"/>
            </w:pPr>
            <w:r>
              <w:t xml:space="preserve">Kos24 (2024)</w:t>
            </w:r>
          </w:p>
        </w:tc>
        <w:tc>
          <w:p>
            <w:pPr>
              <w:pStyle w:val="Compact"/>
              <w:jc w:val="left"/>
            </w:pPr>
            <w:r>
              <w:t xml:space="preserve">Explainable-AI decision support systems</w:t>
            </w:r>
          </w:p>
        </w:tc>
        <w:tc>
          <w:p>
            <w:pPr>
              <w:pStyle w:val="Compact"/>
              <w:jc w:val="left"/>
            </w:pPr>
            <w:r>
              <w:t xml:space="preserve">Introduction related work and III.F, as the explainable-DSS context the framework fits</w:t>
            </w:r>
          </w:p>
        </w:tc>
      </w:tr>
      <w:tr>
        <w:tc>
          <w:p>
            <w:pPr>
              <w:pStyle w:val="Compact"/>
              <w:jc w:val="left"/>
            </w:pPr>
            <w:r>
              <w:t xml:space="preserve">[13]</w:t>
            </w:r>
          </w:p>
        </w:tc>
        <w:tc>
          <w:p>
            <w:pPr>
              <w:pStyle w:val="Compact"/>
              <w:jc w:val="left"/>
            </w:pPr>
            <w:r>
              <w:t xml:space="preserve">Akh24 (2024)</w:t>
            </w:r>
          </w:p>
        </w:tc>
        <w:tc>
          <w:p>
            <w:pPr>
              <w:pStyle w:val="Compact"/>
              <w:jc w:val="left"/>
            </w:pPr>
            <w:r>
              <w:t xml:space="preserve">Review of ML/DL for wildfire spread</w:t>
            </w:r>
          </w:p>
        </w:tc>
        <w:tc>
          <w:p>
            <w:pPr>
              <w:pStyle w:val="Compact"/>
              <w:jc w:val="left"/>
            </w:pPr>
            <w:r>
              <w:t xml:space="preserve">Introduction or Layer 2, as the data-driven spread line the framework complements</w:t>
            </w:r>
          </w:p>
        </w:tc>
      </w:tr>
      <w:tr>
        <w:tc>
          <w:p>
            <w:pPr>
              <w:pStyle w:val="Compact"/>
              <w:jc w:val="left"/>
            </w:pPr>
            <w:r>
              <w:t xml:space="preserve">[14]</w:t>
            </w:r>
          </w:p>
        </w:tc>
        <w:tc>
          <w:p>
            <w:pPr>
              <w:pStyle w:val="Compact"/>
              <w:jc w:val="left"/>
            </w:pPr>
            <w:r>
              <w:t xml:space="preserve">Bor22 (2022)</w:t>
            </w:r>
          </w:p>
        </w:tc>
        <w:tc>
          <w:p>
            <w:pPr>
              <w:pStyle w:val="Compact"/>
              <w:jc w:val="left"/>
            </w:pPr>
            <w:r>
              <w:t xml:space="preserve">Review of ML for wildfire</w:t>
            </w:r>
          </w:p>
        </w:tc>
        <w:tc>
          <w:p>
            <w:pPr>
              <w:pStyle w:val="Compact"/>
              <w:jc w:val="left"/>
            </w:pPr>
            <w:r>
              <w:t xml:space="preserve">Same related-work sentence as Akh24, grouped citation</w:t>
            </w:r>
          </w:p>
        </w:tc>
      </w:tr>
      <w:tr>
        <w:tc>
          <w:p>
            <w:pPr>
              <w:pStyle w:val="Compact"/>
              <w:jc w:val="left"/>
            </w:pPr>
            <w:r>
              <w:t xml:space="preserve">[15]</w:t>
            </w:r>
          </w:p>
        </w:tc>
        <w:tc>
          <w:p>
            <w:pPr>
              <w:pStyle w:val="Compact"/>
              <w:jc w:val="left"/>
            </w:pPr>
            <w:r>
              <w:t xml:space="preserve">Sha24 (2024)</w:t>
            </w:r>
          </w:p>
        </w:tc>
        <w:tc>
          <w:p>
            <w:pPr>
              <w:pStyle w:val="Compact"/>
              <w:jc w:val="left"/>
            </w:pPr>
            <w:r>
              <w:t xml:space="preserve">Multimodal deep network for spread</w:t>
            </w:r>
          </w:p>
        </w:tc>
        <w:tc>
          <w:p>
            <w:pPr>
              <w:pStyle w:val="Compact"/>
              <w:jc w:val="left"/>
            </w:pPr>
            <w:r>
              <w:t xml:space="preserve">Layer 1/2, heterogeneous multi-source perception and feature extraction</w:t>
            </w:r>
          </w:p>
        </w:tc>
      </w:tr>
      <w:tr>
        <w:tc>
          <w:p>
            <w:pPr>
              <w:pStyle w:val="Compact"/>
              <w:jc w:val="left"/>
            </w:pPr>
            <w:r>
              <w:t xml:space="preserve">[16]</w:t>
            </w:r>
          </w:p>
        </w:tc>
        <w:tc>
          <w:p>
            <w:pPr>
              <w:pStyle w:val="Compact"/>
              <w:jc w:val="left"/>
            </w:pPr>
            <w:r>
              <w:t xml:space="preserve">Els25 (2025)</w:t>
            </w:r>
          </w:p>
        </w:tc>
        <w:tc>
          <w:p>
            <w:pPr>
              <w:pStyle w:val="Compact"/>
              <w:jc w:val="left"/>
            </w:pPr>
            <w:r>
              <w:t xml:space="preserve">CNN-BiLSTM fire classification</w:t>
            </w:r>
          </w:p>
        </w:tc>
        <w:tc>
          <w:p>
            <w:pPr>
              <w:pStyle w:val="Compact"/>
              <w:jc w:val="left"/>
            </w:pPr>
            <w:r>
              <w:t xml:space="preserve">Layer 2, feature extraction from imagery</w:t>
            </w:r>
          </w:p>
        </w:tc>
      </w:tr>
      <w:tr>
        <w:tc>
          <w:p>
            <w:pPr>
              <w:pStyle w:val="Compact"/>
              <w:jc w:val="left"/>
            </w:pPr>
            <w:r>
              <w:t xml:space="preserve">[25]</w:t>
            </w:r>
          </w:p>
        </w:tc>
        <w:tc>
          <w:p>
            <w:pPr>
              <w:pStyle w:val="Compact"/>
              <w:jc w:val="left"/>
            </w:pPr>
            <w:r>
              <w:t xml:space="preserve">Wal91 (1991)</w:t>
            </w:r>
          </w:p>
        </w:tc>
        <w:tc>
          <w:p>
            <w:pPr>
              <w:pStyle w:val="Compact"/>
              <w:jc w:val="left"/>
            </w:pPr>
            <w:r>
              <w:t xml:space="preserve">Reasoning with imprecise probabilities</w:t>
            </w:r>
          </w:p>
        </w:tc>
        <w:tc>
          <w:p>
            <w:pPr>
              <w:pStyle w:val="Compact"/>
              <w:jc w:val="left"/>
            </w:pPr>
            <w:r>
              <w:t xml:space="preserve">Layer 2/3, observation confidence and the confidence-gating model</w:t>
            </w:r>
          </w:p>
        </w:tc>
      </w:tr>
      <w:tr>
        <w:tc>
          <w:p>
            <w:pPr>
              <w:pStyle w:val="Compact"/>
              <w:jc w:val="left"/>
            </w:pPr>
            <w:r>
              <w:t xml:space="preserve">[27]</w:t>
            </w:r>
          </w:p>
        </w:tc>
        <w:tc>
          <w:p>
            <w:pPr>
              <w:pStyle w:val="Compact"/>
              <w:jc w:val="left"/>
            </w:pPr>
            <w:r>
              <w:t xml:space="preserve">Rib16 (2016)</w:t>
            </w:r>
          </w:p>
        </w:tc>
        <w:tc>
          <w:p>
            <w:pPr>
              <w:pStyle w:val="Compact"/>
              <w:jc w:val="left"/>
            </w:pPr>
            <w:r>
              <w:t xml:space="preserve">LIME post-hoc explanation</w:t>
            </w:r>
          </w:p>
        </w:tc>
        <w:tc>
          <w:p>
            <w:pPr>
              <w:pStyle w:val="Compact"/>
              <w:jc w:val="left"/>
            </w:pPr>
            <w:r>
              <w:t xml:space="preserve">III.F, contrast: intrinsic concept trace versus post-hoc attribution</w:t>
            </w:r>
          </w:p>
        </w:tc>
      </w:tr>
      <w:tr>
        <w:tc>
          <w:p>
            <w:pPr>
              <w:pStyle w:val="Compact"/>
              <w:jc w:val="left"/>
            </w:pPr>
            <w:r>
              <w:t xml:space="preserve">[35]</w:t>
            </w:r>
          </w:p>
        </w:tc>
        <w:tc>
          <w:p>
            <w:pPr>
              <w:pStyle w:val="Compact"/>
              <w:jc w:val="left"/>
            </w:pPr>
            <w:r>
              <w:t xml:space="preserve">Men95 (1995)</w:t>
            </w:r>
          </w:p>
        </w:tc>
        <w:tc>
          <w:p>
            <w:pPr>
              <w:pStyle w:val="Compact"/>
              <w:jc w:val="left"/>
            </w:pPr>
            <w:r>
              <w:t xml:space="preserve">Fuzzy logic systems tutorial</w:t>
            </w:r>
          </w:p>
        </w:tc>
        <w:tc>
          <w:p>
            <w:pPr>
              <w:pStyle w:val="Compact"/>
              <w:jc w:val="left"/>
            </w:pPr>
            <w:r>
              <w:t xml:space="preserve">II or Layer 3/4, background for the fuzzy inference system</w:t>
            </w:r>
          </w:p>
        </w:tc>
      </w:tr>
      <w:tr>
        <w:tc>
          <w:p>
            <w:pPr>
              <w:pStyle w:val="Compact"/>
              <w:jc w:val="left"/>
            </w:pPr>
            <w:r>
              <w:t xml:space="preserve">[37]</w:t>
            </w:r>
          </w:p>
        </w:tc>
        <w:tc>
          <w:p>
            <w:pPr>
              <w:pStyle w:val="Compact"/>
              <w:jc w:val="left"/>
            </w:pPr>
            <w:r>
              <w:t xml:space="preserve">Mur24 (2024)</w:t>
            </w:r>
          </w:p>
        </w:tc>
        <w:tc>
          <w:p>
            <w:pPr>
              <w:pStyle w:val="Compact"/>
              <w:jc w:val="left"/>
            </w:pPr>
            <w:r>
              <w:t xml:space="preserve">Reinforcement learning for forest fire</w:t>
            </w:r>
          </w:p>
        </w:tc>
        <w:tc>
          <w:p>
            <w:pPr>
              <w:pStyle w:val="Compact"/>
              <w:jc w:val="left"/>
            </w:pPr>
            <w:r>
              <w:t xml:space="preserve">Layer 4, grounding the reinforcement-learning stage</w:t>
            </w:r>
          </w:p>
        </w:tc>
      </w:tr>
      <w:tr>
        <w:tc>
          <w:p>
            <w:pPr>
              <w:pStyle w:val="Compact"/>
              <w:jc w:val="left"/>
            </w:pPr>
            <w:r>
              <w:t xml:space="preserve">[43]</w:t>
            </w:r>
          </w:p>
        </w:tc>
        <w:tc>
          <w:p>
            <w:pPr>
              <w:pStyle w:val="Compact"/>
              <w:jc w:val="left"/>
            </w:pPr>
            <w:r>
              <w:t xml:space="preserve">Mar07 (2007)</w:t>
            </w:r>
          </w:p>
        </w:tc>
        <w:tc>
          <w:p>
            <w:pPr>
              <w:pStyle w:val="Compact"/>
              <w:jc w:val="left"/>
            </w:pPr>
            <w:r>
              <w:t xml:space="preserve">Forest fire management practice</w:t>
            </w:r>
          </w:p>
        </w:tc>
        <w:tc>
          <w:p>
            <w:pPr>
              <w:pStyle w:val="Compact"/>
              <w:jc w:val="left"/>
            </w:pPr>
            <w:r>
              <w:t xml:space="preserve">Introduction or II, operational background and current practice</w:t>
            </w:r>
          </w:p>
        </w:tc>
      </w:tr>
      <w:tr>
        <w:tc>
          <w:p>
            <w:pPr>
              <w:pStyle w:val="Compact"/>
              <w:jc w:val="left"/>
            </w:pPr>
            <w:r>
              <w:t xml:space="preserve">[45]</w:t>
            </w:r>
          </w:p>
        </w:tc>
        <w:tc>
          <w:p>
            <w:pPr>
              <w:pStyle w:val="Compact"/>
              <w:jc w:val="left"/>
            </w:pPr>
            <w:r>
              <w:t xml:space="preserve">Byr59 (1959)</w:t>
            </w:r>
          </w:p>
        </w:tc>
        <w:tc>
          <w:p>
            <w:pPr>
              <w:pStyle w:val="Compact"/>
              <w:jc w:val="left"/>
            </w:pPr>
            <w:r>
              <w:t xml:space="preserve">Byram fireline intensity</w:t>
            </w:r>
          </w:p>
        </w:tc>
        <w:tc>
          <w:p>
            <w:pPr>
              <w:pStyle w:val="Compact"/>
              <w:jc w:val="left"/>
            </w:pPr>
            <w:r>
              <w:t xml:space="preserve">II feature grounding, the fire-intensity feature</w:t>
            </w:r>
          </w:p>
        </w:tc>
      </w:tr>
      <w:tr>
        <w:tc>
          <w:p>
            <w:pPr>
              <w:pStyle w:val="Compact"/>
              <w:jc w:val="left"/>
            </w:pPr>
            <w:r>
              <w:t xml:space="preserve">[46]</w:t>
            </w:r>
          </w:p>
        </w:tc>
        <w:tc>
          <w:p>
            <w:pPr>
              <w:pStyle w:val="Compact"/>
              <w:jc w:val="left"/>
            </w:pPr>
            <w:r>
              <w:t xml:space="preserve">And18 (2018)</w:t>
            </w:r>
          </w:p>
        </w:tc>
        <w:tc>
          <w:p>
            <w:pPr>
              <w:pStyle w:val="Compact"/>
              <w:jc w:val="left"/>
            </w:pPr>
            <w:r>
              <w:t xml:space="preserve">Rothermel surface fire model</w:t>
            </w:r>
          </w:p>
        </w:tc>
        <w:tc>
          <w:p>
            <w:pPr>
              <w:pStyle w:val="Compact"/>
              <w:jc w:val="left"/>
            </w:pPr>
            <w:r>
              <w:t xml:space="preserve">II feature grounding (spread potential) and IV Simulation Environment (the Rothermel-type model)</w:t>
            </w:r>
          </w:p>
        </w:tc>
      </w:tr>
      <w:tr>
        <w:tc>
          <w:p>
            <w:pPr>
              <w:pStyle w:val="Compact"/>
              <w:jc w:val="left"/>
            </w:pPr>
            <w:r>
              <w:t xml:space="preserve">[49]</w:t>
            </w:r>
          </w:p>
        </w:tc>
        <w:tc>
          <w:p>
            <w:pPr>
              <w:pStyle w:val="Compact"/>
              <w:jc w:val="left"/>
            </w:pPr>
            <w:r>
              <w:t xml:space="preserve">Gan13 (2013)</w:t>
            </w:r>
          </w:p>
        </w:tc>
        <w:tc>
          <w:p>
            <w:pPr>
              <w:pStyle w:val="Compact"/>
              <w:jc w:val="left"/>
            </w:pPr>
            <w:r>
              <w:t xml:space="preserve">Drivers of fire ignition</w:t>
            </w:r>
          </w:p>
        </w:tc>
        <w:tc>
          <w:p>
            <w:pPr>
              <w:pStyle w:val="Compact"/>
              <w:jc w:val="left"/>
            </w:pPr>
            <w:r>
              <w:t xml:space="preserve">II feature grounding, the ignition-proximity feature</w:t>
            </w:r>
          </w:p>
        </w:tc>
      </w:tr>
      <w:tr>
        <w:tc>
          <w:p>
            <w:pPr>
              <w:pStyle w:val="Compact"/>
              <w:jc w:val="left"/>
            </w:pPr>
            <w:r>
              <w:t xml:space="preserve">[51]</w:t>
            </w:r>
          </w:p>
        </w:tc>
        <w:tc>
          <w:p>
            <w:pPr>
              <w:pStyle w:val="Compact"/>
              <w:jc w:val="left"/>
            </w:pPr>
            <w:r>
              <w:t xml:space="preserve">Sco05 (2005)</w:t>
            </w:r>
          </w:p>
        </w:tc>
        <w:tc>
          <w:p>
            <w:pPr>
              <w:pStyle w:val="Compact"/>
              <w:jc w:val="left"/>
            </w:pPr>
            <w:r>
              <w:t xml:space="preserve">Standard fire-behavior fuel models</w:t>
            </w:r>
          </w:p>
        </w:tc>
        <w:tc>
          <w:p>
            <w:pPr>
              <w:pStyle w:val="Compact"/>
              <w:jc w:val="left"/>
            </w:pPr>
            <w:r>
              <w:t xml:space="preserve">II feature grounding (fuel load) and IV, the simulator fuel model</w:t>
            </w:r>
          </w:p>
        </w:tc>
      </w:tr>
      <w:tr>
        <w:tc>
          <w:p>
            <w:pPr>
              <w:pStyle w:val="Compact"/>
              <w:jc w:val="left"/>
            </w:pPr>
            <w:r>
              <w:t xml:space="preserve">[53]</w:t>
            </w:r>
          </w:p>
        </w:tc>
        <w:tc>
          <w:p>
            <w:pPr>
              <w:pStyle w:val="Compact"/>
              <w:jc w:val="left"/>
            </w:pPr>
            <w:r>
              <w:t xml:space="preserve">Cal14 (2014)</w:t>
            </w:r>
          </w:p>
        </w:tc>
        <w:tc>
          <w:p>
            <w:pPr>
              <w:pStyle w:val="Compact"/>
              <w:jc w:val="left"/>
            </w:pPr>
            <w:r>
              <w:t xml:space="preserve">Risk management in the WUI</w:t>
            </w:r>
          </w:p>
        </w:tc>
        <w:tc>
          <w:p>
            <w:pPr>
              <w:pStyle w:val="Compact"/>
              <w:jc w:val="left"/>
            </w:pPr>
            <w:r>
              <w:t xml:space="preserve">II asset-exposure feature and the Decision Cost subsection</w:t>
            </w:r>
          </w:p>
        </w:tc>
      </w:tr>
      <w:tr>
        <w:tc>
          <w:p>
            <w:pPr>
              <w:pStyle w:val="Compact"/>
              <w:jc w:val="left"/>
            </w:pPr>
            <w:r>
              <w:t xml:space="preserve">[56]</w:t>
            </w:r>
          </w:p>
        </w:tc>
        <w:tc>
          <w:p>
            <w:pPr>
              <w:pStyle w:val="Compact"/>
              <w:jc w:val="left"/>
            </w:pPr>
            <w:r>
              <w:t xml:space="preserve">Vir18 (2018)</w:t>
            </w:r>
          </w:p>
        </w:tc>
        <w:tc>
          <w:p>
            <w:pPr>
              <w:pStyle w:val="Compact"/>
              <w:jc w:val="left"/>
            </w:pPr>
            <w:r>
              <w:t xml:space="preserve">Lipschitz regularity of deep networks</w:t>
            </w:r>
          </w:p>
        </w:tc>
        <w:tc>
          <w:p>
            <w:pPr>
              <w:pStyle w:val="Compact"/>
              <w:jc w:val="left"/>
            </w:pPr>
            <w:r>
              <w:t xml:space="preserve">Conclusion or the formal-basis statement on Lipschitz continuity</w:t>
            </w:r>
          </w:p>
        </w:tc>
      </w:tr>
      <w:tr>
        <w:tc>
          <w:p>
            <w:pPr>
              <w:pStyle w:val="Compact"/>
              <w:jc w:val="left"/>
            </w:pPr>
            <w:r>
              <w:t xml:space="preserve">[57]</w:t>
            </w:r>
          </w:p>
        </w:tc>
        <w:tc>
          <w:p>
            <w:pPr>
              <w:pStyle w:val="Compact"/>
              <w:jc w:val="left"/>
            </w:pPr>
            <w:r>
              <w:t xml:space="preserve">Fol99 (1999)</w:t>
            </w:r>
          </w:p>
        </w:tc>
        <w:tc>
          <w:p>
            <w:pPr>
              <w:pStyle w:val="Compact"/>
              <w:jc w:val="left"/>
            </w:pPr>
            <w:r>
              <w:t xml:space="preserve">Real analysis</w:t>
            </w:r>
          </w:p>
        </w:tc>
        <w:tc>
          <w:p>
            <w:pPr>
              <w:pStyle w:val="Compact"/>
              <w:jc w:val="left"/>
            </w:pPr>
            <w:r>
              <w:t xml:space="preserve">Formal basis, the non-expansive coordination projection</w:t>
            </w:r>
          </w:p>
        </w:tc>
      </w:tr>
      <w:tr>
        <w:tc>
          <w:p>
            <w:pPr>
              <w:pStyle w:val="Compact"/>
              <w:jc w:val="left"/>
            </w:pPr>
            <w:r>
              <w:t xml:space="preserve">[58]</w:t>
            </w:r>
          </w:p>
        </w:tc>
        <w:tc>
          <w:p>
            <w:pPr>
              <w:pStyle w:val="Compact"/>
              <w:jc w:val="left"/>
            </w:pPr>
            <w:r>
              <w:t xml:space="preserve">Sah14 (2014)</w:t>
            </w:r>
          </w:p>
        </w:tc>
        <w:tc>
          <w:p>
            <w:pPr>
              <w:pStyle w:val="Compact"/>
              <w:jc w:val="left"/>
            </w:pPr>
            <w:r>
              <w:t xml:space="preserve">Approximating optimal fuzzy mapping</w:t>
            </w:r>
          </w:p>
        </w:tc>
        <w:tc>
          <w:p>
            <w:pPr>
              <w:pStyle w:val="Compact"/>
              <w:jc w:val="left"/>
            </w:pPr>
            <w:r>
              <w:t xml:space="preserve">Layer 4, keeping the rule-base adaptation tractable</w:t>
            </w:r>
          </w:p>
        </w:tc>
      </w:tr>
      <w:tr>
        <w:tc>
          <w:p>
            <w:pPr>
              <w:pStyle w:val="Compact"/>
              <w:jc w:val="left"/>
            </w:pPr>
            <w:r>
              <w:t xml:space="preserve">[59]</w:t>
            </w:r>
          </w:p>
        </w:tc>
        <w:tc>
          <w:p>
            <w:pPr>
              <w:pStyle w:val="Compact"/>
              <w:jc w:val="left"/>
            </w:pPr>
            <w:r>
              <w:t xml:space="preserve">Lug11 (2011)</w:t>
            </w:r>
          </w:p>
        </w:tc>
        <w:tc>
          <w:p>
            <w:pPr>
              <w:pStyle w:val="Compact"/>
              <w:jc w:val="left"/>
            </w:pPr>
            <w:r>
              <w:t xml:space="preserve">Evolving fuzzy systems</w:t>
            </w:r>
          </w:p>
        </w:tc>
        <w:tc>
          <w:p>
            <w:pPr>
              <w:pStyle w:val="Compact"/>
              <w:jc w:val="left"/>
            </w:pPr>
            <w:r>
              <w:t xml:space="preserve">II or Layer 4, the evolving-FIS grounding</w:t>
            </w:r>
          </w:p>
        </w:tc>
      </w:tr>
      <w:tr>
        <w:tc>
          <w:p>
            <w:pPr>
              <w:pStyle w:val="Compact"/>
              <w:jc w:val="left"/>
            </w:pPr>
            <w:r>
              <w:t xml:space="preserve">[60]</w:t>
            </w:r>
          </w:p>
        </w:tc>
        <w:tc>
          <w:p>
            <w:pPr>
              <w:pStyle w:val="Compact"/>
              <w:jc w:val="left"/>
            </w:pPr>
            <w:r>
              <w:t xml:space="preserve">Tu23 (2023)</w:t>
            </w:r>
          </w:p>
        </w:tc>
        <w:tc>
          <w:p>
            <w:pPr>
              <w:pStyle w:val="Compact"/>
              <w:jc w:val="left"/>
            </w:pPr>
            <w:r>
              <w:t xml:space="preserve">Dynamic adjustment in fuzzy reasoning</w:t>
            </w:r>
          </w:p>
        </w:tc>
        <w:tc>
          <w:p>
            <w:pPr>
              <w:pStyle w:val="Compact"/>
              <w:jc w:val="left"/>
            </w:pPr>
            <w:r>
              <w:t xml:space="preserve">Layer 4, the membership-modification and resolution operators</w:t>
            </w:r>
          </w:p>
        </w:tc>
      </w:tr>
      <w:tr>
        <w:tc>
          <w:p>
            <w:pPr>
              <w:pStyle w:val="Compact"/>
              <w:jc w:val="left"/>
            </w:pPr>
            <w:r>
              <w:t xml:space="preserve">[61]</w:t>
            </w:r>
          </w:p>
        </w:tc>
        <w:tc>
          <w:p>
            <w:pPr>
              <w:pStyle w:val="Compact"/>
              <w:jc w:val="left"/>
            </w:pPr>
            <w:r>
              <w:t xml:space="preserve">Bel15 (2015)</w:t>
            </w:r>
          </w:p>
        </w:tc>
        <w:tc>
          <w:p>
            <w:pPr>
              <w:pStyle w:val="Compact"/>
              <w:jc w:val="left"/>
            </w:pPr>
            <w:r>
              <w:t xml:space="preserve">Hierarchical decision-making method</w:t>
            </w:r>
          </w:p>
        </w:tc>
        <w:tc>
          <w:p>
            <w:pPr>
              <w:pStyle w:val="Compact"/>
              <w:jc w:val="left"/>
            </w:pPr>
            <w:r>
              <w:t xml:space="preserve">Layer 3, the concept hierarchy</w:t>
            </w:r>
          </w:p>
        </w:tc>
      </w:tr>
      <w:tr>
        <w:tc>
          <w:p>
            <w:pPr>
              <w:pStyle w:val="Compact"/>
              <w:jc w:val="left"/>
            </w:pPr>
            <w:r>
              <w:t xml:space="preserve">[62]</w:t>
            </w:r>
          </w:p>
        </w:tc>
        <w:tc>
          <w:p>
            <w:pPr>
              <w:pStyle w:val="Compact"/>
              <w:jc w:val="left"/>
            </w:pPr>
            <w:r>
              <w:t xml:space="preserve">Bel07 (2007)</w:t>
            </w:r>
          </w:p>
        </w:tc>
        <w:tc>
          <w:p>
            <w:pPr>
              <w:pStyle w:val="Compact"/>
              <w:jc w:val="left"/>
            </w:pPr>
            <w:r>
              <w:t xml:space="preserve">Strategy decomposition and distribution</w:t>
            </w:r>
          </w:p>
        </w:tc>
        <w:tc>
          <w:p>
            <w:pPr>
              <w:pStyle w:val="Compact"/>
              <w:jc w:val="left"/>
            </w:pPr>
            <w:r>
              <w:t xml:space="preserve">III framework, the distributed regional agents and coordinator</w:t>
            </w:r>
          </w:p>
        </w:tc>
      </w:tr>
      <w:tr>
        <w:tc>
          <w:p>
            <w:pPr>
              <w:pStyle w:val="Compact"/>
              <w:jc w:val="left"/>
            </w:pPr>
            <w:r>
              <w:t xml:space="preserve">[63]</w:t>
            </w:r>
          </w:p>
        </w:tc>
        <w:tc>
          <w:p>
            <w:pPr>
              <w:pStyle w:val="Compact"/>
              <w:jc w:val="left"/>
            </w:pPr>
            <w:r>
              <w:t xml:space="preserve">Pap87 (1987)</w:t>
            </w:r>
          </w:p>
        </w:tc>
        <w:tc>
          <w:p>
            <w:pPr>
              <w:pStyle w:val="Compact"/>
              <w:jc w:val="left"/>
            </w:pPr>
            <w:r>
              <w:t xml:space="preserve">Complexity of Markov decision processes</w:t>
            </w:r>
          </w:p>
        </w:tc>
        <w:tc>
          <w:p>
            <w:pPr>
              <w:pStyle w:val="Compact"/>
              <w:jc w:val="left"/>
            </w:pPr>
            <w:r>
              <w:t xml:space="preserve">Layer 4 cost paragraph, the intractability of exact policy computation</w:t>
            </w:r>
          </w:p>
        </w:tc>
      </w:tr>
    </w:tbl>
    <w:p>
      <w:pPr>
        <w:pStyle w:val="Heading2"/>
      </w:pPr>
      <w:bookmarkStart w:id="21" w:name="note"/>
      <w:r>
        <w:t xml:space="preserve">Note</w:t>
      </w:r>
      <w:bookmarkEnd w:id="21"/>
    </w:p>
    <w:p>
      <w:pPr>
        <w:pStyle w:val="FirstParagraph"/>
      </w:pPr>
      <w:r>
        <w:t xml:space="preserve">Several of these are feature-grounding and simulator sources (Byr59, And18, Gan13, Sco05, Cal14) that fit directly in the Section II feature and cost subsections and in the Section IV simulator description; citing them there both removes the unused entries and strengthens the scientific grounding. The remaining sources are review and method references that fit the introduction and the related parts of Section III.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2026-06-29T00:33:19Z</dcterms:created>
  <dcterms:modified xsi:type="dcterms:W3CDTF">2026-06-29T00:33:19Z</dcterms:modified>
</cp:coreProperties>
</file>

<file path=docProps/custom.xml><?xml version="1.0" encoding="utf-8"?>
<Properties xmlns="http://schemas.openxmlformats.org/officeDocument/2006/custom-properties" xmlns:vt="http://schemas.openxmlformats.org/officeDocument/2006/docPropsVTypes"/>
</file>