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equal-budget evolutionary search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across these settings, which span the range of retardant and line effectiveness reported in [46],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Three further limits bound the claims. Shadow forecasts start from the state of the core, which stands for the situation picture of the operator;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