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(Section VI).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xml:space="preserve">, keeping the evaluator independent of the proposer. </w:t>
      </w:r>
      <w:r>
        <w:t xml:space="preserve">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[33]</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[34]</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[35]</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[36]</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[37, 38]</w:t>
          </w:r>
          <w:r>
            <w:fldChar w:fldCharType="end"/>
          </w:r>
        </w:sdtContent>
      </w:sdt>
      <w:r>
        <w:t xml:space="preserve"> also search a fixed vocabulary, but offline, whereas the search here runs during the incident on its forecasts.</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[39]</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[40]</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[41]</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[42]</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[43]</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[44]</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[45]</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[46]</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[47]</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[48]</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[49]</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[50]</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[51]</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[52]</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[53]</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and spread rates are expressed in cell lengths per substep, so Ψk and Θign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[54] and the operational priority method [55],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and carry terrain, standard fuel models, settlements with population, roads and water sources; winds of 8 to 12 m/s with dead fuel moisture of 6 to 8% correspond to high fire danger.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[56]</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[46],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Generated orders, including tactical ignition, remain recommendations under operator authority, and their acceptance by fire officers is untested. Two further limits bound the claims: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[33]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[34]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[35]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[36]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[37]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[38]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[39]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[40]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[41]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[42]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[43]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[44]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[45]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[46]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[47]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[48]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[49]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[50]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[51]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[52]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[53]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[54]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[55]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[56]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39</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40</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41</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43</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44</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45</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50</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51</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53</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54</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55</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49</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42</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46</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47</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48</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52</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33</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35</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36</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37</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38</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56</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34</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