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AFAD81" w14:textId="526F76BA" w:rsidR="00002FAF" w:rsidRDefault="00002FAF" w:rsidP="00002FAF">
      <w:pPr>
        <w:pStyle w:val="Title"/>
        <w:framePr w:w="0" w:hSpace="0" w:vSpace="0" w:wrap="auto" w:vAnchor="margin" w:hAnchor="text" w:xAlign="left" w:yAlign="inline"/>
      </w:pPr>
      <w:r>
        <w:t>Concept-Based Fuzzy Reasoning for Scalable Wildfire Decision Support (DisasterAware)</w:t>
      </w:r>
      <w:r>
        <w:rPr>
          <w:sz w:val="40"/>
          <w:szCs w:val="40"/>
        </w:rPr>
      </w:r>
      <w:r/>
      <w:r>
        <w:rPr>
          <w:sz w:val="40"/>
          <w:szCs w:val="40"/>
        </w:rPr>
      </w:r>
      <w:r>
        <w:rPr>
          <w:i/>
        </w:rPr>
      </w:r>
      <w:r/>
      <w:r w:rsidR="002947C5"/>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192A95C3"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Mehmet Kemal Leblebicioğlu</w:t>
      </w:r>
      <w:r>
        <w:rPr>
          <w:i/>
          <w:color w:val="000000"/>
          <w:sz w:val="22"/>
          <w:szCs w:val="22"/>
        </w:rPr>
      </w:r>
      <w:r>
        <w:rPr>
          <w:color w:val="000000"/>
          <w:sz w:val="22"/>
          <w:szCs w:val="22"/>
        </w:rPr>
      </w:r>
      <w:r>
        <w:rPr>
          <w:i/>
          <w:color w:val="000000"/>
          <w:sz w:val="22"/>
          <w:szCs w:val="22"/>
        </w:rPr>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This document provides a guide</w:t>
      </w:r>
      <w:r>
        <w:rPr>
          <w:b/>
          <w:color w:val="000000"/>
          <w:sz w:val="18"/>
          <w:szCs w:val="18"/>
        </w:rPr>
        <w:t xml:space="preserve"> for preparing </w:t>
      </w:r>
      <w:r>
        <w:rPr>
          <w:b/>
          <w:sz w:val="18"/>
          <w:szCs w:val="18"/>
        </w:rPr>
        <w:t xml:space="preserve">articles </w:t>
      </w:r>
      <w:r>
        <w:rPr>
          <w:b/>
          <w:color w:val="000000"/>
          <w:sz w:val="18"/>
          <w:szCs w:val="18"/>
        </w:rPr>
        <w:t>for IEEE Transactions</w:t>
      </w:r>
      <w:r>
        <w:rPr>
          <w:b/>
          <w:sz w:val="18"/>
          <w:szCs w:val="18"/>
        </w:rPr>
        <w:t>,</w:t>
      </w:r>
      <w:r>
        <w:rPr>
          <w:b/>
          <w:color w:val="000000"/>
          <w:sz w:val="18"/>
          <w:szCs w:val="18"/>
        </w:rPr>
        <w:t xml:space="preserve"> Journals, and Letters</w:t>
      </w:r>
      <w:r>
        <w:rPr>
          <w:b/>
          <w:i/>
          <w:color w:val="000000"/>
          <w:sz w:val="18"/>
          <w:szCs w:val="18"/>
        </w:rPr>
        <w:t>.</w:t>
      </w:r>
      <w:r>
        <w:rPr>
          <w:b/>
          <w:color w:val="000000"/>
          <w:sz w:val="18"/>
          <w:szCs w:val="18"/>
        </w:rPr>
        <w:t xml:space="preserve"> Use this document as a template if you are using Microsoft </w:t>
      </w:r>
      <w:r>
        <w:rPr>
          <w:b/>
          <w:i/>
          <w:color w:val="000000"/>
          <w:sz w:val="18"/>
          <w:szCs w:val="18"/>
        </w:rPr>
        <w:t>Word</w:t>
      </w:r>
      <w:r>
        <w:rPr>
          <w:b/>
          <w:color w:val="000000"/>
          <w:sz w:val="18"/>
          <w:szCs w:val="18"/>
        </w:rPr>
        <w:t xml:space="preserve">. Otherwise, use this as an instruction set. The electronic file of your </w:t>
      </w:r>
      <w:r w:rsidR="00DC758F">
        <w:rPr>
          <w:b/>
          <w:color w:val="000000"/>
          <w:sz w:val="18"/>
          <w:szCs w:val="18"/>
        </w:rPr>
        <w:t>article</w:t>
      </w:r>
      <w:r>
        <w:rPr>
          <w:b/>
          <w:color w:val="000000"/>
          <w:sz w:val="18"/>
          <w:szCs w:val="18"/>
        </w:rPr>
        <w:t xml:space="preserve"> will be formatted further at IEEE. </w:t>
      </w:r>
      <w:r w:rsidR="00DC758F">
        <w:rPr>
          <w:b/>
          <w:color w:val="000000"/>
          <w:sz w:val="18"/>
          <w:szCs w:val="18"/>
        </w:rPr>
        <w:t>Titles</w:t>
      </w:r>
      <w:r>
        <w:rPr>
          <w:b/>
          <w:color w:val="000000"/>
          <w:sz w:val="18"/>
          <w:szCs w:val="18"/>
        </w:rPr>
        <w:t xml:space="preserve">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ORCIDs can be provided here as well. In the title, </w:t>
      </w:r>
      <w:r>
        <w:rPr>
          <w:b/>
          <w:sz w:val="18"/>
          <w:szCs w:val="18"/>
        </w:rPr>
        <w:t xml:space="preserve">all variables should appear lightface italic; numbers and units will remain bold. Abstracts must be a single paragraph. In order for an Abstract to be effective when displayed in IEEE </w:t>
      </w:r>
      <w:r>
        <w:rPr>
          <w:b/>
          <w:i/>
          <w:sz w:val="18"/>
          <w:szCs w:val="18"/>
        </w:rPr>
        <w:t xml:space="preserve">Xplore </w:t>
      </w:r>
      <w:r>
        <w:rPr>
          <w:b/>
          <w:sz w:val="18"/>
          <w:szCs w:val="18"/>
        </w:rPr>
        <w:t xml:space="preserve">as well as through indexing services such as </w:t>
      </w:r>
      <w:proofErr w:type="spellStart"/>
      <w:r>
        <w:rPr>
          <w:b/>
          <w:sz w:val="18"/>
          <w:szCs w:val="18"/>
        </w:rPr>
        <w:t>Compendex</w:t>
      </w:r>
      <w:proofErr w:type="spellEnd"/>
      <w:r>
        <w:rPr>
          <w:b/>
          <w:sz w:val="18"/>
          <w:szCs w:val="18"/>
        </w:rPr>
        <w:t>, INSPEC, Medline, ProQuest, and Web of Science, it must be an accurate, stand-alone reflection of the contents of the article. They shall not contain displayed mathematical equations, numbered reference citations, nor footnotes. They</w:t>
      </w:r>
      <w:r>
        <w:rPr>
          <w:b/>
          <w:color w:val="000000"/>
          <w:sz w:val="18"/>
          <w:szCs w:val="18"/>
        </w:rPr>
        <w:t xml:space="preserve">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Emphasis"/>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Emphasis"/>
          <w:b/>
          <w:color w:val="000000"/>
          <w:sz w:val="18"/>
          <w:szCs w:val="18"/>
          <w:shd w:val="clear" w:color="auto" w:fill="FFFFFF"/>
        </w:rPr>
        <w:t>IEEE Thesaurus</w:t>
      </w:r>
      <w:r w:rsidR="00D10AC8">
        <w:rPr>
          <w:rStyle w:val="Emphasis"/>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Heading1"/>
      </w:pPr>
      <w:r w:rsidRPr="008856C3">
        <w:t xml:space="preserve">I. </w:t>
      </w:r>
      <w:r w:rsidR="000F2C11" w:rsidRPr="008856C3">
        <w:t>I</w:t>
      </w:r>
      <w:r w:rsidR="000F2C11" w:rsidRPr="0003442C">
        <w:t>NTRODUCTION</w:t>
      </w:r>
    </w:p>
    <w:p w14:paraId="43794709" w14:textId="6FC42F45" w:rsidR="004063A4" w:rsidRPr="004063A4"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4063A4">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1" w:history="1">
        <w:r w:rsidR="001B0334" w:rsidRPr="00771AA2">
          <w:rPr>
            <w:rStyle w:val="Hyperlink"/>
          </w:rPr>
          <w:t>https://template-selector.ieee.org/secure/templateSelector/publicationType</w:t>
        </w:r>
        <w:r w:rsidRPr="00771AA2">
          <w:rPr>
            <w:rStyle w:val="Hyperlink"/>
          </w:rPr>
          <w:t>.</w:t>
        </w:r>
      </w:hyperlink>
      <w:r>
        <w:rPr>
          <w:color w:val="000000"/>
        </w:rPr>
        <w:t xml:space="preserve"> You can also </w:t>
      </w:r>
      <w:r>
        <w:t>use</w:t>
      </w:r>
      <w:r>
        <w:rPr>
          <w:color w:val="000000"/>
        </w:rPr>
        <w:t xml:space="preserve"> the Overleaf editor at </w:t>
      </w:r>
      <w:hyperlink r:id="rId12">
        <w:r>
          <w:rPr>
            <w:color w:val="0000FF"/>
            <w:u w:val="single"/>
          </w:rPr>
          <w:t>https://www.overleaf.com/blog/278-how-to-use-overleaf-with-ieee-collabratec-your-quick-guide-to-getting-started#.</w:t>
        </w:r>
      </w:hyperlink>
      <w:hyperlink r:id="rId13">
        <w:r>
          <w:rPr>
            <w:color w:val="0000FF"/>
            <w:u w:val="single"/>
          </w:rPr>
          <w:t>Vp6tpPkrK</w:t>
        </w:r>
      </w:hyperlink>
      <w:hyperlink r:id="rId14">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when the formal </w:t>
      </w:r>
      <w:r w:rsidR="00DC758F">
        <w:t>proof</w:t>
      </w:r>
      <w:r w:rsidR="00DC758F" w:rsidRPr="00DC758F">
        <w:t xml:space="preserve"> is created by IEEE</w:t>
      </w:r>
    </w:p>
    <w:p w14:paraId="48CB75CA" w14:textId="574CAADA" w:rsidR="00732E46" w:rsidRPr="00A6525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5">
        <w:r w:rsidRPr="00A65256">
          <w:rPr>
            <w:color w:val="1155CC"/>
            <w:spacing w:val="-2"/>
            <w:u w:val="single"/>
          </w:rPr>
          <w:t>https://journals.ieeeauthorcenter.ieee.org/create-your-ieee-journal-article/create-the-text-of-your-article/ieee-editorial-style-manual/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448429C" w14:textId="77777777" w:rsidR="00A853F3" w:rsidRPr="00A853F3" w:rsidRDefault="00A853F3" w:rsidP="00A65256">
      <w:pPr>
        <w:widowControl w:val="0"/>
        <w:pBdr>
          <w:top w:val="nil"/>
          <w:left w:val="nil"/>
          <w:bottom w:val="nil"/>
          <w:right w:val="nil"/>
          <w:between w:val="nil"/>
        </w:pBdr>
        <w:spacing w:before="80" w:line="252" w:lineRule="auto"/>
        <w:ind w:firstLine="180"/>
        <w:rPr>
          <w:u w:val="double"/>
        </w:rPr>
      </w:pPr>
    </w:p>
    <w:p w14:paraId="40729C54" w14:textId="77777777" w:rsidR="00732E46" w:rsidRDefault="000F2C11">
      <w:pPr>
        <w:widowControl w:val="0"/>
        <w:numPr>
          <w:ilvl w:val="0"/>
          <w:numId w:val="2"/>
        </w:numPr>
        <w:spacing w:line="252" w:lineRule="auto"/>
        <w:jc w:val="both"/>
      </w:pPr>
      <w:r>
        <w:t>punctuation;</w:t>
      </w:r>
    </w:p>
    <w:p w14:paraId="07E41A1C" w14:textId="77777777" w:rsidR="00732E46" w:rsidRDefault="000F2C11">
      <w:pPr>
        <w:widowControl w:val="0"/>
        <w:numPr>
          <w:ilvl w:val="0"/>
          <w:numId w:val="2"/>
        </w:numPr>
        <w:spacing w:line="252" w:lineRule="auto"/>
        <w:jc w:val="both"/>
      </w:pPr>
      <w:r>
        <w:t>capitalization;</w:t>
      </w:r>
    </w:p>
    <w:p w14:paraId="54CA649C" w14:textId="77777777" w:rsidR="00732E46" w:rsidRDefault="000F2C11">
      <w:pPr>
        <w:widowControl w:val="0"/>
        <w:numPr>
          <w:ilvl w:val="0"/>
          <w:numId w:val="2"/>
        </w:numPr>
        <w:spacing w:line="252" w:lineRule="auto"/>
        <w:jc w:val="both"/>
      </w:pPr>
      <w:r>
        <w:t>abbreviations;</w:t>
      </w:r>
    </w:p>
    <w:p w14:paraId="7382969A" w14:textId="77777777" w:rsidR="00732E46" w:rsidRDefault="000F2C11">
      <w:pPr>
        <w:widowControl w:val="0"/>
        <w:numPr>
          <w:ilvl w:val="0"/>
          <w:numId w:val="2"/>
        </w:numPr>
        <w:spacing w:line="252" w:lineRule="auto"/>
        <w:jc w:val="both"/>
      </w:pPr>
      <w:r>
        <w:t>section headings;</w:t>
      </w:r>
    </w:p>
    <w:p w14:paraId="73D87B4B" w14:textId="77777777" w:rsidR="00732E46" w:rsidRDefault="000F2C11">
      <w:pPr>
        <w:widowControl w:val="0"/>
        <w:numPr>
          <w:ilvl w:val="0"/>
          <w:numId w:val="2"/>
        </w:numPr>
        <w:spacing w:line="252" w:lineRule="auto"/>
        <w:jc w:val="both"/>
      </w:pPr>
      <w:r>
        <w:t>numbers, equations;</w:t>
      </w:r>
    </w:p>
    <w:p w14:paraId="52FED512" w14:textId="77777777" w:rsidR="00732E46" w:rsidRDefault="000F2C11">
      <w:pPr>
        <w:widowControl w:val="0"/>
        <w:numPr>
          <w:ilvl w:val="0"/>
          <w:numId w:val="2"/>
        </w:numPr>
        <w:spacing w:line="252" w:lineRule="auto"/>
        <w:jc w:val="both"/>
      </w:pPr>
      <w:r>
        <w:t>footnotes;</w:t>
      </w:r>
    </w:p>
    <w:p w14:paraId="1540F1E0" w14:textId="77777777" w:rsidR="00732E46" w:rsidRDefault="000F2C11">
      <w:pPr>
        <w:widowControl w:val="0"/>
        <w:numPr>
          <w:ilvl w:val="0"/>
          <w:numId w:val="2"/>
        </w:numPr>
        <w:spacing w:line="252" w:lineRule="auto"/>
        <w:jc w:val="both"/>
      </w:pPr>
      <w:r>
        <w:t>biographies;</w:t>
      </w:r>
    </w:p>
    <w:p w14:paraId="778BEC26" w14:textId="77777777" w:rsidR="00732E46" w:rsidRDefault="000F2C11">
      <w:pPr>
        <w:widowControl w:val="0"/>
        <w:numPr>
          <w:ilvl w:val="0"/>
          <w:numId w:val="2"/>
        </w:numPr>
        <w:spacing w:line="252" w:lineRule="auto"/>
        <w:jc w:val="both"/>
      </w:pPr>
      <w:r>
        <w:t>some common mistakes;</w:t>
      </w:r>
    </w:p>
    <w:p w14:paraId="4DEF5C79" w14:textId="77777777" w:rsidR="00732E46" w:rsidRDefault="000F2C11">
      <w:pPr>
        <w:widowControl w:val="0"/>
        <w:numPr>
          <w:ilvl w:val="0"/>
          <w:numId w:val="2"/>
        </w:numPr>
        <w:spacing w:line="252" w:lineRule="auto"/>
        <w:jc w:val="both"/>
      </w:pPr>
      <w:r>
        <w:t>units of measurement.</w:t>
      </w:r>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6"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774C00D9" w:rsidR="00732E46" w:rsidRDefault="00DB3364" w:rsidP="00C7592D">
      <w:pPr>
        <w:pStyle w:val="Heading1"/>
        <w:spacing w:before="250"/>
      </w:pPr>
      <w:r>
        <w:t xml:space="preserve">II. </w:t>
      </w:r>
      <w:r w:rsidR="000F2C11">
        <w:t>Guidelines For Manuscript Preparation</w:t>
      </w:r>
    </w:p>
    <w:p w14:paraId="0C169AB7" w14:textId="25E573D4" w:rsidR="00A853F3" w:rsidRDefault="000F2C11" w:rsidP="00A853F3">
      <w:pPr>
        <w:widowControl w:val="0"/>
        <w:pBdr>
          <w:top w:val="nil"/>
          <w:left w:val="nil"/>
          <w:bottom w:val="nil"/>
          <w:right w:val="nil"/>
          <w:between w:val="nil"/>
        </w:pBdr>
        <w:spacing w:line="252" w:lineRule="auto"/>
        <w:ind w:firstLine="202"/>
        <w:jc w:val="both"/>
      </w:pPr>
      <w:r>
        <w:rPr>
          <w:color w:val="000000"/>
        </w:rPr>
        <w:t xml:space="preserve">When you open </w:t>
      </w:r>
      <w:r w:rsidR="00A41540">
        <w:rPr>
          <w:color w:val="000000"/>
        </w:rPr>
        <w:t>the template</w:t>
      </w:r>
      <w:r>
        <w:rPr>
          <w:color w:val="000000"/>
        </w:rPr>
        <w:t xml:space="preserve">, select “Page Layout” from the “View” menu in the menu bar (View | Page Layout), (these instructions assume </w:t>
      </w:r>
      <w:r>
        <w:t xml:space="preserve">Microsoft </w:t>
      </w:r>
      <w:r>
        <w:rPr>
          <w:i/>
        </w:rPr>
        <w:t>Word</w:t>
      </w:r>
      <w:r>
        <w:rPr>
          <w:color w:val="000000"/>
        </w:rPr>
        <w:t xml:space="preserve">. Some versions may have </w:t>
      </w:r>
      <w:r w:rsidR="00A853F3">
        <w:rPr>
          <w:noProof/>
        </w:rPr>
        <w:lastRenderedPageBreak/>
        <w:drawing>
          <wp:inline distT="114300" distB="114300" distL="114300" distR="114300" wp14:anchorId="14C5FDEB" wp14:editId="0AAADB32">
            <wp:extent cx="3029903"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029903" cy="1924050"/>
                    </a:xfrm>
                    <a:prstGeom prst="rect">
                      <a:avLst/>
                    </a:prstGeom>
                    <a:ln/>
                  </pic:spPr>
                </pic:pic>
              </a:graphicData>
            </a:graphic>
          </wp:inline>
        </w:drawing>
      </w:r>
      <w:r w:rsidR="00A853F3" w:rsidRPr="00A853F3">
        <w:rPr>
          <w:b/>
        </w:rPr>
        <w:t xml:space="preserve"> </w:t>
      </w:r>
      <w:r w:rsidR="00A853F3">
        <w:rPr>
          <w:b/>
        </w:rPr>
        <w:t>Fig. 1.</w:t>
      </w:r>
      <w:r w:rsidR="00A853F3">
        <w:t xml:space="preserve"> This is a sample of a figure caption.</w:t>
      </w:r>
    </w:p>
    <w:p w14:paraId="47CE4E1D" w14:textId="0ECF7F6E" w:rsidR="00A853F3" w:rsidRDefault="00A853F3" w:rsidP="00A853F3">
      <w:pPr>
        <w:widowControl w:val="0"/>
        <w:pBdr>
          <w:top w:val="nil"/>
          <w:left w:val="nil"/>
          <w:bottom w:val="nil"/>
          <w:right w:val="nil"/>
          <w:between w:val="nil"/>
        </w:pBdr>
        <w:spacing w:line="252" w:lineRule="auto"/>
        <w:ind w:firstLine="202"/>
        <w:jc w:val="both"/>
        <w:rPr>
          <w:color w:val="000000"/>
        </w:rPr>
      </w:pPr>
    </w:p>
    <w:p w14:paraId="7951F41D" w14:textId="360EB70B" w:rsidR="00732E46" w:rsidRPr="00D050EC" w:rsidRDefault="000F2C11" w:rsidP="00A853F3">
      <w:pPr>
        <w:widowControl w:val="0"/>
        <w:pBdr>
          <w:top w:val="nil"/>
          <w:left w:val="nil"/>
          <w:bottom w:val="nil"/>
          <w:right w:val="nil"/>
          <w:between w:val="nil"/>
        </w:pBdr>
        <w:spacing w:line="252" w:lineRule="auto"/>
        <w:jc w:val="both"/>
        <w:rPr>
          <w:color w:val="000000"/>
          <w:spacing w:val="-2"/>
        </w:rPr>
      </w:pPr>
      <w:r w:rsidRPr="00D050EC">
        <w:rPr>
          <w:color w:val="000000"/>
          <w:spacing w:val="-2"/>
        </w:rPr>
        <w:t xml:space="preserve">alternate ways to access the same functionalities noted here). Then, type over sections of </w:t>
      </w:r>
      <w:r w:rsidR="00660F88" w:rsidRPr="00D050EC">
        <w:rPr>
          <w:color w:val="000000"/>
          <w:spacing w:val="-2"/>
        </w:rPr>
        <w:t>the template</w:t>
      </w:r>
      <w:r w:rsidRPr="00D050EC">
        <w:rPr>
          <w:color w:val="000000"/>
          <w:spacing w:val="-2"/>
        </w:rPr>
        <w:t xml:space="preserve"> or cut and paste from another document and use markup styles. The pull-down</w:t>
      </w:r>
      <w:r w:rsidR="00A853F3" w:rsidRPr="00D050EC">
        <w:rPr>
          <w:color w:val="000000"/>
          <w:spacing w:val="-2"/>
        </w:rPr>
        <w:t xml:space="preserve"> </w:t>
      </w:r>
      <w:r w:rsidRPr="00D050EC">
        <w:rPr>
          <w:color w:val="000000"/>
          <w:spacing w:val="-2"/>
        </w:rPr>
        <w:t xml:space="preserve">style menu is </w:t>
      </w:r>
      <w:r w:rsidRPr="00D050EC">
        <w:rPr>
          <w:spacing w:val="-2"/>
        </w:rPr>
        <w:t>in</w:t>
      </w:r>
      <w:r w:rsidRPr="00D050EC">
        <w:rPr>
          <w:color w:val="000000"/>
          <w:spacing w:val="-2"/>
        </w:rPr>
        <w:t xml:space="preserve"> the Formatting Toolbar at the top of your </w:t>
      </w:r>
      <w:r w:rsidRPr="00D050EC">
        <w:rPr>
          <w:i/>
          <w:color w:val="000000"/>
          <w:spacing w:val="-2"/>
        </w:rPr>
        <w:t>Word</w:t>
      </w:r>
      <w:r w:rsidRPr="00D050EC">
        <w:rPr>
          <w:color w:val="000000"/>
          <w:spacing w:val="-2"/>
        </w:rPr>
        <w:t xml:space="preserve"> window (</w:t>
      </w:r>
      <w:r w:rsidR="00357347" w:rsidRPr="00D050EC">
        <w:rPr>
          <w:color w:val="000000"/>
          <w:spacing w:val="-2"/>
        </w:rPr>
        <w:t>e.g.</w:t>
      </w:r>
      <w:r w:rsidRPr="00D050EC">
        <w:rPr>
          <w:color w:val="000000"/>
          <w:spacing w:val="-2"/>
        </w:rPr>
        <w:t>,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sidRPr="00D050EC">
        <w:rPr>
          <w:b/>
          <w:color w:val="000000"/>
          <w:spacing w:val="-2"/>
        </w:rPr>
        <w:t xml:space="preserve"> </w:t>
      </w:r>
      <w:r w:rsidRPr="00D050EC">
        <w:rPr>
          <w:color w:val="000000"/>
          <w:spacing w:val="-2"/>
        </w:rPr>
        <w:t xml:space="preserve">Use </w:t>
      </w:r>
      <w:r w:rsidRPr="00D050EC">
        <w:rPr>
          <w:i/>
          <w:color w:val="000000"/>
          <w:spacing w:val="-2"/>
        </w:rPr>
        <w:t>italics</w:t>
      </w:r>
      <w:r w:rsidRPr="00D050EC">
        <w:rPr>
          <w:color w:val="000000"/>
          <w:spacing w:val="-2"/>
        </w:rPr>
        <w:t xml:space="preserve"> for emphasis; do not underline. </w:t>
      </w:r>
    </w:p>
    <w:p w14:paraId="1EBE8CFF" w14:textId="77777777" w:rsidR="00DC758F" w:rsidRDefault="000F2C11" w:rsidP="00DC758F">
      <w:pPr>
        <w:widowControl w:val="0"/>
        <w:pBdr>
          <w:top w:val="nil"/>
          <w:left w:val="nil"/>
          <w:bottom w:val="nil"/>
          <w:right w:val="nil"/>
          <w:between w:val="nil"/>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14:textId="5AEDCB4C" w:rsidR="00732E46" w:rsidRDefault="0096199E" w:rsidP="00DC758F">
      <w:pPr>
        <w:widowControl w:val="0"/>
        <w:pBdr>
          <w:top w:val="nil"/>
          <w:left w:val="nil"/>
          <w:bottom w:val="nil"/>
          <w:right w:val="nil"/>
          <w:between w:val="nil"/>
        </w:pBdr>
        <w:spacing w:line="252" w:lineRule="auto"/>
        <w:ind w:firstLine="202"/>
        <w:jc w:val="both"/>
        <w:rPr>
          <w:color w:val="000000"/>
        </w:rPr>
      </w:pPr>
      <w:r>
        <w:rPr>
          <w:color w:val="000000"/>
        </w:rPr>
        <w:t>This is intended as</w:t>
      </w:r>
      <w:r w:rsidR="00DC758F" w:rsidRPr="00DC758F">
        <w:rPr>
          <w:color w:val="000000"/>
        </w:rPr>
        <w:t xml:space="preserve"> an authoring template, not a final production template</w:t>
      </w:r>
      <w:r w:rsidR="00DC758F">
        <w:rPr>
          <w:color w:val="000000"/>
        </w:rPr>
        <w:t>.</w:t>
      </w:r>
      <w:r w:rsidR="00DC758F" w:rsidRPr="00DC758F">
        <w:rPr>
          <w:color w:val="000000"/>
        </w:rPr>
        <w:t xml:space="preserve"> </w:t>
      </w:r>
      <w:r w:rsidR="00DC758F">
        <w:rPr>
          <w:color w:val="000000"/>
        </w:rPr>
        <w:t xml:space="preserve">It is not </w:t>
      </w:r>
      <w:r w:rsidR="00DC758F" w:rsidRPr="00DC758F">
        <w:rPr>
          <w:color w:val="000000"/>
        </w:rPr>
        <w:t>intended to match the final published format.</w:t>
      </w:r>
      <w:r w:rsidR="00DC758F">
        <w:rPr>
          <w:color w:val="000000"/>
        </w:rPr>
        <w:t xml:space="preserve"> D</w:t>
      </w:r>
      <w:r w:rsidR="00DC758F" w:rsidRPr="00DC758F">
        <w:rPr>
          <w:color w:val="000000"/>
        </w:rPr>
        <w:t>ifferences in final formatting</w:t>
      </w:r>
      <w:r w:rsidR="00DC758F">
        <w:rPr>
          <w:color w:val="000000"/>
        </w:rPr>
        <w:t xml:space="preserve"> are likely in the final IEEE files</w:t>
      </w:r>
      <w:r w:rsidR="00DC758F" w:rsidRPr="00DC758F">
        <w:rPr>
          <w:color w:val="000000"/>
        </w:rPr>
        <w:t>.</w:t>
      </w:r>
      <w:r w:rsidR="00DC758F">
        <w:rPr>
          <w:color w:val="000000"/>
        </w:rPr>
        <w:t xml:space="preserve"> </w:t>
      </w:r>
      <w:r w:rsidR="00DC758F" w:rsidRPr="00DC758F">
        <w:rPr>
          <w:color w:val="000000"/>
        </w:rPr>
        <w:t xml:space="preserve">Page count </w:t>
      </w:r>
      <w:r w:rsidR="00DC758F">
        <w:rPr>
          <w:color w:val="000000"/>
        </w:rPr>
        <w:t xml:space="preserve">in the template </w:t>
      </w:r>
      <w:r w:rsidR="00DC758F" w:rsidRPr="00DC758F">
        <w:rPr>
          <w:color w:val="000000"/>
        </w:rPr>
        <w:t>is an estimate</w:t>
      </w:r>
      <w:r w:rsidR="00DC758F">
        <w:rPr>
          <w:color w:val="000000"/>
        </w:rPr>
        <w:t>.</w:t>
      </w:r>
      <w:r w:rsidR="00DC758F" w:rsidRPr="00DC758F">
        <w:rPr>
          <w:color w:val="000000"/>
        </w:rPr>
        <w:t xml:space="preserve"> </w:t>
      </w:r>
      <w:r>
        <w:rPr>
          <w:color w:val="000000"/>
        </w:rPr>
        <w:t>Do not adjust line and character spacing to fit your paper to a specific length.</w:t>
      </w:r>
    </w:p>
    <w:p w14:paraId="534A61AA" w14:textId="77777777" w:rsidR="00732E46" w:rsidRDefault="00732E46">
      <w:pPr>
        <w:widowControl w:val="0"/>
        <w:pBdr>
          <w:top w:val="nil"/>
          <w:left w:val="nil"/>
          <w:bottom w:val="nil"/>
          <w:right w:val="nil"/>
          <w:between w:val="nil"/>
        </w:pBdr>
        <w:spacing w:line="252" w:lineRule="auto"/>
        <w:ind w:firstLine="202"/>
        <w:jc w:val="both"/>
      </w:pPr>
    </w:p>
    <w:p w14:paraId="6E775EAE" w14:textId="1CB7CF47" w:rsidR="00732E46" w:rsidRDefault="00DB3364" w:rsidP="00DB3364">
      <w:pPr>
        <w:pStyle w:val="Heading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4CFF9ABE" w:rsidR="00732E46" w:rsidRDefault="00DB3364" w:rsidP="00827FB8">
      <w:pPr>
        <w:pStyle w:val="Heading1"/>
      </w:pPr>
      <w:r>
        <w:t xml:space="preserve">III. </w:t>
      </w:r>
      <w:r w:rsidR="000F2C11">
        <w:t>M</w:t>
      </w:r>
      <w:r w:rsidR="000F2C11">
        <w:rPr>
          <w:sz w:val="16"/>
          <w:szCs w:val="16"/>
        </w:rPr>
        <w:t>ATH</w:t>
      </w:r>
    </w:p>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w:t>
      </w:r>
      <w:proofErr w:type="spellStart"/>
      <w:r w:rsidR="00660F88">
        <w:rPr>
          <w:color w:val="000000"/>
          <w:spacing w:val="-4"/>
        </w:rPr>
        <w:t>MathType</w:t>
      </w:r>
      <w:proofErr w:type="spellEnd"/>
      <w:r w:rsidR="00660F88">
        <w:rPr>
          <w:color w:val="000000"/>
          <w:spacing w:val="-4"/>
        </w:rPr>
        <w:t xml:space="preserve"> plugin, </w:t>
      </w:r>
      <w:r>
        <w:rPr>
          <w:color w:val="000000"/>
          <w:spacing w:val="-4"/>
        </w:rPr>
        <w:t>which can be obtained</w:t>
      </w:r>
      <w:r w:rsidR="00660F88">
        <w:rPr>
          <w:color w:val="000000"/>
          <w:spacing w:val="-4"/>
        </w:rPr>
        <w:t xml:space="preserve"> from </w:t>
      </w:r>
      <w:hyperlink r:id="rId18">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19" w:history="1">
        <w:r w:rsidR="00114406" w:rsidRPr="002B7422">
          <w:rPr>
            <w:rStyle w:val="Hyperlink"/>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proofErr w:type="spellStart"/>
      <w:r w:rsidR="0096199E" w:rsidRPr="0096199E">
        <w:rPr>
          <w:i/>
          <w:iCs/>
          <w:color w:val="000000"/>
        </w:rPr>
        <w:t>MathType</w:t>
      </w:r>
      <w:proofErr w:type="spellEnd"/>
      <w:r w:rsidR="0096199E" w:rsidRPr="0096199E">
        <w:rPr>
          <w:i/>
          <w:iCs/>
          <w:color w:val="000000"/>
        </w:rPr>
        <w:t xml:space="preserv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20" w:history="1">
        <w:r w:rsidR="001743EC" w:rsidRPr="00046ECC">
          <w:rPr>
            <w:rStyle w:val="Hyperlink"/>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4B3B7B66" w:rsidR="00732E46" w:rsidRDefault="00DB3364" w:rsidP="00DB3364">
      <w:pPr>
        <w:pStyle w:val="Heading2"/>
        <w:numPr>
          <w:ilvl w:val="0"/>
          <w:numId w:val="0"/>
        </w:numPr>
      </w:pPr>
      <w:r>
        <w:t xml:space="preserve">A. </w:t>
      </w:r>
      <w:r w:rsidR="000F2C11">
        <w:t>Equations</w:t>
      </w:r>
    </w:p>
    <w:p w14:paraId="752FF10B" w14:textId="712765E8" w:rsidR="00732E46" w:rsidRDefault="000F2C11" w:rsidP="007B62A7">
      <w:pPr>
        <w:widowControl w:val="0"/>
        <w:pBdr>
          <w:top w:val="nil"/>
          <w:left w:val="nil"/>
          <w:bottom w:val="nil"/>
          <w:right w:val="nil"/>
          <w:between w:val="nil"/>
        </w:pBdr>
        <w:spacing w:line="252" w:lineRule="auto"/>
        <w:ind w:firstLine="202"/>
        <w:jc w:val="both"/>
      </w:pPr>
      <w:r w:rsidRPr="007B62A7">
        <w:rPr>
          <w:color w:val="000000"/>
        </w:rPr>
        <w:t>Number</w:t>
      </w:r>
      <w:r>
        <w:t xml:space="preserve"> equations consecutively with equation numbers in parentheses flush with the right margin of the column, as in (1). First use the equation editor to create the equation. Then </w:t>
      </w:r>
      <w:r w:rsidR="005E2D10">
        <w:t xml:space="preserve">select </w:t>
      </w:r>
      <w:r>
        <w:t xml:space="preserve">the “Equation” markup style. Press the tab key and write the equation </w:t>
      </w:r>
      <w:r w:rsidRPr="00A65256">
        <w:rPr>
          <w:color w:val="000000"/>
        </w:rPr>
        <w:t>number</w:t>
      </w:r>
      <w:r>
        <w:t xml:space="preserve"> in parentheses. To make your equations more compact, you may use the solidus </w:t>
      </w:r>
      <w:proofErr w:type="gramStart"/>
      <w:r>
        <w:t>( /</w:t>
      </w:r>
      <w:proofErr w:type="gramEnd"/>
      <w:r>
        <w:t xml:space="preserve"> ), the exp function, or appropriate exponents. Use parentheses to avoid ambiguities in denominators. Punctuate equations when they are part of a sentence, as in</w:t>
      </w:r>
    </w:p>
    <w:p w14:paraId="4B3F1CB8" w14:textId="77777777" w:rsidR="00732E46" w:rsidRDefault="000F2C11">
      <w:pPr>
        <w:widowControl w:val="0"/>
        <w:pBdr>
          <w:top w:val="nil"/>
          <w:left w:val="nil"/>
          <w:bottom w:val="nil"/>
          <w:right w:val="nil"/>
          <w:between w:val="nil"/>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14:textId="77777777" w:rsidR="00A853F3" w:rsidRDefault="00A853F3" w:rsidP="00A65256">
      <w:pPr>
        <w:widowControl w:val="0"/>
        <w:pBdr>
          <w:top w:val="nil"/>
          <w:left w:val="nil"/>
          <w:bottom w:val="nil"/>
          <w:right w:val="nil"/>
          <w:between w:val="nil"/>
        </w:pBdr>
        <w:spacing w:before="20" w:line="252" w:lineRule="auto"/>
        <w:ind w:firstLine="202"/>
        <w:jc w:val="both"/>
        <w:rPr>
          <w:color w:val="000000"/>
        </w:rPr>
      </w:pPr>
    </w:p>
    <w:p w14:paraId="0ACC2F98" w14:textId="19C7688C" w:rsidR="00732E46" w:rsidRDefault="00E57D3D" w:rsidP="00A853F3">
      <w:pPr>
        <w:widowControl w:val="0"/>
        <w:pBdr>
          <w:top w:val="nil"/>
          <w:left w:val="nil"/>
          <w:bottom w:val="nil"/>
          <w:right w:val="nil"/>
          <w:between w:val="nil"/>
        </w:pBdr>
        <w:spacing w:line="252" w:lineRule="auto"/>
        <w:ind w:firstLine="202"/>
        <w:jc w:val="both"/>
        <w:rPr>
          <w:color w:val="000000"/>
        </w:rPr>
      </w:pPr>
      <w:r>
        <w:rPr>
          <w:color w:val="000000"/>
        </w:rPr>
        <w:t>Be sure that the symbols in your equation have been defined before the equation appears or immediately following. Italicize</w:t>
      </w:r>
      <w:r w:rsidR="00A853F3">
        <w:rPr>
          <w:color w:val="000000"/>
        </w:rPr>
        <w:t xml:space="preserve"> </w:t>
      </w:r>
      <w:r w:rsidR="000F2C11">
        <w:rPr>
          <w:color w:val="000000"/>
        </w:rPr>
        <w:t>symbols (</w:t>
      </w:r>
      <w:r w:rsidR="000F2C11">
        <w:rPr>
          <w:i/>
          <w:color w:val="000000"/>
        </w:rPr>
        <w:t>T</w:t>
      </w:r>
      <w:r w:rsidR="000F2C11">
        <w:rPr>
          <w:color w:val="000000"/>
        </w:rPr>
        <w:t xml:space="preserve"> might refer to temperature, but T is the unit tesla). </w:t>
      </w:r>
      <w:r w:rsidR="000F2C11">
        <w:t xml:space="preserve">When referring to an equation or formula, use simply </w:t>
      </w:r>
      <w:r w:rsidR="000F2C11">
        <w:rPr>
          <w:color w:val="000000"/>
        </w:rPr>
        <w:t xml:space="preserve">“(1),” not “Eq. (1)” or “equation (1),” except at the beginning of a sentence: “Equation (1) is </w:t>
      </w:r>
      <w:proofErr w:type="gramStart"/>
      <w:r w:rsidR="000F2C11">
        <w:rPr>
          <w:color w:val="000000"/>
        </w:rPr>
        <w:t>... .</w:t>
      </w:r>
      <w:proofErr w:type="gramEnd"/>
      <w:r w:rsidR="000F2C11">
        <w:rPr>
          <w:color w:val="000000"/>
        </w:rPr>
        <w:t>”</w:t>
      </w:r>
    </w:p>
    <w:p w14:paraId="233DFA19" w14:textId="77777777" w:rsidR="00031B79" w:rsidRDefault="00031B79" w:rsidP="00A65256">
      <w:pPr>
        <w:widowControl w:val="0"/>
        <w:pBdr>
          <w:top w:val="nil"/>
          <w:left w:val="nil"/>
          <w:bottom w:val="nil"/>
          <w:right w:val="nil"/>
          <w:between w:val="nil"/>
        </w:pBdr>
        <w:spacing w:before="20" w:line="252" w:lineRule="auto"/>
        <w:ind w:firstLine="202"/>
        <w:jc w:val="both"/>
        <w:rPr>
          <w:color w:val="000000"/>
        </w:rPr>
      </w:pPr>
    </w:p>
    <w:p w14:paraId="120293A3" w14:textId="6A5811A3" w:rsidR="002947C5" w:rsidRPr="00D050EC" w:rsidRDefault="002947C5" w:rsidP="00D050EC">
      <w:pPr>
        <w:pStyle w:val="Heading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7C259E3D">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Heading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Heading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Paragraph"/>
        <w:numPr>
          <w:ilvl w:val="1"/>
          <w:numId w:val="10"/>
        </w:numPr>
        <w:rPr>
          <w:rFonts w:ascii="Times" w:eastAsia="Times" w:hAnsi="Times" w:cs="Times"/>
          <w:color w:val="000000"/>
        </w:rPr>
      </w:pPr>
      <w:r w:rsidRPr="00DB3364">
        <w:rPr>
          <w:b/>
        </w:rPr>
        <w:lastRenderedPageBreak/>
        <w:t>Color/Grayscale Figures</w:t>
      </w:r>
      <w:r w:rsidR="00DB3364">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Paragraph"/>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Paragraph"/>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Paragraph"/>
        <w:ind w:left="450"/>
        <w:rPr>
          <w:rFonts w:ascii="Times" w:eastAsia="Times" w:hAnsi="Times" w:cs="Times"/>
          <w:i/>
          <w:color w:val="000000"/>
        </w:rPr>
      </w:pPr>
    </w:p>
    <w:p w14:paraId="30945116" w14:textId="5B220BB5" w:rsidR="00732E46" w:rsidRPr="00DB3364" w:rsidRDefault="00DB3364" w:rsidP="00DB3364">
      <w:pPr>
        <w:pStyle w:val="Heading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Heading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Heading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Heading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Heading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Heading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Heading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Heading2"/>
        <w:numPr>
          <w:ilvl w:val="0"/>
          <w:numId w:val="0"/>
        </w:numPr>
      </w:pPr>
      <w:r>
        <w:t xml:space="preserve">I. </w:t>
      </w:r>
      <w:r w:rsidR="000F2C11">
        <w:t>Using Labels Within Figures</w:t>
      </w:r>
    </w:p>
    <w:p w14:paraId="57E960B8" w14:textId="77777777" w:rsidR="00E653B5" w:rsidRDefault="000F2C11" w:rsidP="00DB3364">
      <w:pPr>
        <w:pStyle w:val="ListParagraph"/>
        <w:numPr>
          <w:ilvl w:val="0"/>
          <w:numId w:val="11"/>
        </w:numPr>
        <w:ind w:left="540"/>
      </w:pPr>
      <w:r w:rsidRPr="00EF6430">
        <w:rPr>
          <w:b/>
        </w:rPr>
        <w:t>Figure Axis Labels</w:t>
      </w:r>
    </w:p>
    <w:p w14:paraId="301C6715" w14:textId="77777777" w:rsidR="007054D1" w:rsidRPr="00F33F99" w:rsidRDefault="000F2C11" w:rsidP="007054D1">
      <w:pPr>
        <w:pStyle w:val="ListParagraph"/>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E625A7" w:rsidRPr="00D050EC">
        <w:rPr>
          <w:noProof/>
          <w:color w:val="000000"/>
        </w:rPr>
        <w:object w:dxaOrig="100" w:dyaOrig="130"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25pt;height:6.25pt;mso-width-percent:0;mso-height-percent:0;mso-width-percent:0;mso-height-percent:0" o:ole="" fillcolor="window">
            <v:imagedata r:id="rId23" o:title=""/>
          </v:shape>
          <o:OLEObject Type="Embed" ProgID="Equation.3" ShapeID="_x0000_i1025" DrawAspect="Content" ObjectID="_1779688688" r:id="rId24"/>
        </w:obje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Paragraph"/>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Paragraph"/>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Paragraph"/>
        <w:numPr>
          <w:ilvl w:val="0"/>
          <w:numId w:val="11"/>
        </w:numPr>
        <w:ind w:left="540"/>
      </w:pPr>
      <w:r w:rsidRPr="00EF6430">
        <w:rPr>
          <w:b/>
        </w:rPr>
        <w:t>Subfigure Labels in Multipart Figures and Tables</w:t>
      </w:r>
    </w:p>
    <w:p w14:paraId="20C20803" w14:textId="666703C8" w:rsidR="00732E46" w:rsidRDefault="000F2C11" w:rsidP="00E653B5">
      <w:pPr>
        <w:pStyle w:val="ListParagraph"/>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Heading2"/>
        <w:numPr>
          <w:ilvl w:val="0"/>
          <w:numId w:val="0"/>
        </w:numPr>
        <w:rPr>
          <w:rFonts w:eastAsia="Cambria"/>
        </w:rPr>
      </w:pPr>
      <w:r w:rsidRPr="00EF6430">
        <w:rPr>
          <w:rFonts w:eastAsia="Cambria"/>
        </w:rPr>
        <w:lastRenderedPageBreak/>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Heading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Heading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Heading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Heading1"/>
      </w:pPr>
      <w:bookmarkStart w:id="2" w:name="_heading=h.ji51hl1e8dp3" w:colFirst="0" w:colLast="0"/>
      <w:bookmarkEnd w:id="2"/>
      <w:r w:rsidRPr="00F33F99">
        <w:t>References and Footnotes</w:t>
      </w:r>
    </w:p>
    <w:p w14:paraId="6417537E" w14:textId="3B3D54D6" w:rsidR="00732E46" w:rsidRDefault="00EF6430" w:rsidP="00827FB8">
      <w:pPr>
        <w:pStyle w:val="Heading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w:t>
      </w:r>
      <w:r w:rsidRPr="00D050EC">
        <w:rPr>
          <w:color w:val="000000"/>
          <w:spacing w:val="-4"/>
        </w:rPr>
        <w:t xml:space="preserve">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5">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Heading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Heading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Heading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6">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w:t>
      </w:r>
      <w:r>
        <w:lastRenderedPageBreak/>
        <w:t xml:space="preserve">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Heading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Heading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7" w:history="1">
        <w:r w:rsidR="006B68F3" w:rsidRPr="006B68F3">
          <w:rPr>
            <w:rStyle w:val="Hyperlink"/>
            <w:spacing w:val="-2"/>
            <w:highlight w:val="white"/>
          </w:rPr>
          <w:t>https://www.ieee.org/publications/rights/index.html</w:t>
        </w:r>
      </w:hyperlink>
      <w:hyperlink r:id="rId28">
        <w:r w:rsidRPr="006B68F3">
          <w:rPr>
            <w:color w:val="1155CC"/>
            <w:spacing w:val="-2"/>
            <w:highlight w:val="white"/>
            <w:u w:val="single"/>
          </w:rPr>
          <w:t xml:space="preserve"> </w:t>
        </w:r>
      </w:hyperlink>
    </w:p>
    <w:p w14:paraId="5D6B1EFA" w14:textId="77777777" w:rsidR="00732E46" w:rsidRDefault="000F2C11" w:rsidP="00827FB8">
      <w:pPr>
        <w:pStyle w:val="Heading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9"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Heading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w:t>
      </w:r>
      <w:r>
        <w:rPr>
          <w:color w:val="000000"/>
        </w:rPr>
        <w:t xml:space="preserve">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pp. xxx-xxx, Abbrev. Month, year,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Abbrev. Month, year, Art. no. </w:t>
      </w:r>
      <w:proofErr w:type="spellStart"/>
      <w:r>
        <w:rPr>
          <w:sz w:val="16"/>
          <w:szCs w:val="16"/>
          <w:highlight w:val="white"/>
        </w:rPr>
        <w:t>xxxxx</w:t>
      </w:r>
      <w:proofErr w:type="spellEnd"/>
      <w:r>
        <w:rPr>
          <w:sz w:val="16"/>
          <w:szCs w:val="16"/>
          <w:highlight w:val="white"/>
        </w:rPr>
        <w:t xml:space="preserve">,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w:t>
      </w:r>
      <w:proofErr w:type="spellStart"/>
      <w:r w:rsidRPr="00D050EC">
        <w:rPr>
          <w:sz w:val="16"/>
          <w:szCs w:val="16"/>
        </w:rPr>
        <w:t>doi</w:t>
      </w:r>
      <w:proofErr w:type="spellEnd"/>
      <w:r w:rsidRPr="00D050EC">
        <w:rPr>
          <w:sz w:val="16"/>
          <w:szCs w:val="16"/>
        </w:rPr>
        <w:t xml:space="preserve">: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w:t>
      </w:r>
      <w:proofErr w:type="spellStart"/>
      <w:r>
        <w:rPr>
          <w:sz w:val="16"/>
          <w:szCs w:val="16"/>
        </w:rPr>
        <w:t>Comite</w:t>
      </w:r>
      <w:proofErr w:type="spellEnd"/>
      <w:r>
        <w:rPr>
          <w:sz w:val="16"/>
          <w:szCs w:val="16"/>
        </w:rPr>
        <w:t xml:space="preserv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lastRenderedPageBreak/>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spellStart"/>
      <w:r w:rsidRPr="00D050EC">
        <w:rPr>
          <w:rFonts w:ascii="Times" w:hAnsi="Times" w:cs="Times"/>
          <w:color w:val="000000"/>
          <w:sz w:val="16"/>
          <w:szCs w:val="16"/>
        </w:rPr>
        <w:t>vers</w:t>
      </w:r>
      <w:proofErr w:type="spell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similar to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w:t>
      </w:r>
      <w:proofErr w:type="spellStart"/>
      <w:r>
        <w:rPr>
          <w:color w:val="000000"/>
        </w:rPr>
        <w:t>Kajor</w:t>
      </w:r>
      <w:proofErr w:type="spellEnd"/>
      <w:r>
        <w:rPr>
          <w:color w:val="000000"/>
        </w:rPr>
        <w:t xml:space="preserve">,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r>
        <w:rPr>
          <w:rFonts w:ascii="Times" w:eastAsia="Times" w:hAnsi="Times" w:cs="Times"/>
        </w:rPr>
        <w:t xml:space="preserve">photograph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(Member, IEEE), photograph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Çağlar Akman</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Çağlar Akman and Mehmet Kemal Leblebicioğlu are with the Department of Electrical and Electronics Engineering, Middle East Technical University, 06800 Ankara, Türkiye.</w:t>
      </w:r>
      <w:r>
        <w:rPr>
          <w:sz w:val="16"/>
          <w:szCs w:val="16"/>
        </w:rPr>
        <w:t/>
      </w:r>
      <w:r>
        <w:rPr>
          <w:color w:val="000000"/>
          <w:sz w:val="16"/>
          <w:szCs w:val="16"/>
        </w:rPr>
        <w:t xml:space="preserve"/>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