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admits at most one object per call. In simulation on 150 paired incidents, VODA lowers burned area by 61% against the closed layer, raises the share of extinguished incidents from 52% to 91%, and lowers priced response by 46% and affected population, the initial residents of burned cells, by 80%. The gated search carries most of the gain: a random proposer behind the same gates reaches three quarters of it,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VODA answers the first limit with a verified open decision space.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w:t>
      </w:r>
      <w:r>
        <w:t>Algebraic gates and a paired forecast test on hazard forecasts are applied to every candidate, and the best survivor is admitted.</w:t>
      </w:r>
      <w:r>
        <w:t xml:space="preserve">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VODA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VODA separates the hazard model from the decision mechanism. Blind hindcast against satellite fire records assesses spatial agreement, while paired comparisons on </w:t>
      </w:r>
      <w:r w:rsidRPr="006B193B">
        <w:lastRenderedPageBreak/>
        <w:t xml:space="preserve">identical worlds isolate decision benefits, including under planning-model error. </w:t>
      </w:r>
      <w:r>
        <w:t>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VODA combines closed-layer tuning and open-</w:t>
      </w:r>
      <w:r>
        <w:t xml:space="preserve">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w:t>
      </w:r>
      <w:r>
        <w:t xml:space="preserve">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7A411237" w14:textId="77777777">
        <w:trPr>
          <w:cantSplit/>
          <w:jc w:val="center"/>
        </w:trPr>
        <w:tc>
          <w:tcPr>
            <w:tcW w:w="4500" w:type="pct"/>
            <w:vAlign w:val="center"/>
          </w:tcPr>
          <w:p w14:paraId="5952F80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5F026748"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2D64B8C0" w14:textId="77777777" w:rsidR="00096354" w:rsidRDefault="00096354">
      <w:pPr>
        <w:pStyle w:val="Text"/>
        <w:rPr>
          <w:sz w:val="12"/>
          <w:szCs w:val="12"/>
        </w:rPr>
      </w:pPr>
    </w:p>
    <w:p w14:paraId="0C105F77" w14:textId="77777777"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F65A855" w14:textId="77777777">
        <w:trPr>
          <w:cantSplit/>
          <w:jc w:val="center"/>
        </w:trPr>
        <w:tc>
          <w:tcPr>
            <w:tcW w:w="4500" w:type="pct"/>
            <w:vAlign w:val="center"/>
          </w:tcPr>
          <w:p w14:paraId="6B2B172B"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6F24BCA3"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(16).</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18</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18</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18</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15</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21</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objects uniformly from the grammar of (19) and spends its budget on fresh samples rather than variations.</w:t>
      </w:r>
      <w:r>
        <w:t xml:space="preserve"> For both proposers, at most one candidate per call is admitted, and most rejections occur at G1 to G4 and at the first forecast.</w:t>
      </w:r>
    </w:p>
    <w:p w14:paraId="32FCECCD" w14:textId="77777777" w:rsidR="00F30F81" w:rsidRDefault="00D31F60">
      <w:pPr>
        <w:pStyle w:val="Text"/>
      </w:pPr>
      <w:r>
        <w:t>The gate chain enforces the structural, resource and forecast-based acceptance conditions before a proposed object enters the rule base, independently of the proposer.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Second, every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VODA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 Code, configurations and run logs are available from the corresponding author on request. A request asks for six candidates. The closed layer spends two shadow forecasts per cycle on the acceptance test and none on search, so the forecast budget of the open layer is matched only by the random control. Full search allows 36 first-future forecasts and up to three additional finalist evaluations; the candidate-only configuration omits variations, and the small random control sets its search budget to six. Single-candidate controls submit one random or LLM candidate to the gates. The repeat uses the same worlds; the independent-future test selects the best candidate on seeds 101 and 202 and completes G5 to G8 on seeds 303 and 404, so the final test does not reuse the futures of the selection.</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sets a moisture floor of 0.45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six composed tactics written from initial-attack practice over the seven effects, an aerial retardant line ahead of the head, structure protection, a flank line, a rear anchor, an evacuation belt and a burnout behind a cleared line;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Timing runs use one process on an Intel Core i9-10900K (3.70 GHz, 10 cores, 20 threads) with 32 GB RAM, 64-bit Windows 11 Enterprise and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IV;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None / Closed / VODA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30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w:t>
      </w:r>
      <w:r>
        <w:t xml:space="preserve">The test evaluates spatial agreement conditioned on the observed extent and does not validate timing; the area ratio in </w:t>
      </w:r>
      <w:r>
        <w:fldChar w:fldCharType="begin"/>
      </w:r>
      <w:r>
        <w:instrText>REF _RefTab_agree \h</w:instrText>
      </w:r>
      <w:r>
        <w:fldChar w:fldCharType="separate"/>
      </w:r>
      <w:r w:rsidR="001C6998">
        <w:t xml:space="preserve">Table IV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w:t>
      </w:r>
      <w:r>
        <w:fldChar w:fldCharType="end"/>
      </w:r>
      <w:r>
        <w:t xml:space="preserve"> reports outcomes and scenario changes against Closed; worse counts refer to larger burned area among 30 worlds. Against Closed, VODA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(16) from 0.2 to 1 narrows the total-cost advantage from 48% to 31 ± 7%, better in 108 worlds, and leaves the area result unchanged. Later admission raises dispatch-delay cost by 36%, included in the total. Extinguished incidents rise from 52% to 91%; VODA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VODA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w:t>
      </w:r>
      <w:r>
        <w:fldChar w:fldCharType="end"/>
      </w:r>
      <w:r>
        <w:t xml:space="preserve"> groups the source and search comparisons with model-error and operating-limit tests. The gated search with a random proposer reduces area by 46%, compared with 61% for VODA, so the gate chain over the candidate set carries most of the gain. The random control is a random search over the grammar of (19) with simulation-based selection, 36 candidates per call priced on the same forecasts and admitted by the same gates, so it is a search controller without a language model over the same vocabulary, and its margin over Closed measures what the composed vocabulary and the search add to doctrine written in families. At this comparable budget, the candidate-only LLM configuration exceeds the small random control by 14 ± 11 percentage points, while adding variations yields a further 16 ± 9 points.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VODA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VODA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Weakening coating leaves 54 ± 12%, and removing its effect leaves 33 ± 9%, so the advantage extends beyond the </w:t>
      </w:r>
      <w:r>
        <w:lastRenderedPageBreak/>
        <w:t xml:space="preserve">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 In the 44 nominal worlds where VODA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tactics selected as the recurring archetypes of the 75 derivation worlds, each admitted in at least 7 of them, and used as recorded doctrine in the transfer tests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 Two results separate the sources of the gain: a random proposer over the same effects, sectors and bands recovers three quarters of it, so the gain rests on the composed vocabulary and the forecast-guided search rather than on the language model, and a hand-written doctrine over the same effects gains little while the recorded tactics carried by the closed layer as doctrine carry most of it, so what the closed layer lacks is not access to the effects but the compositions the search finds. Seen as a planner, the gated search is a receding-horizon search over an action grammar; the contribution is the architecture around it, a doctrine that records what the search admits and gates that keep the proposer from deciding,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