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With a Gated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The decision core has a closed layer, a self-tuning Takagi-Sugeno rule base, and an open layer in which a generative model proposes rules and composed interventions and a chain of gates on shadow forecasts ranks the candidates and admits at most one object per call. On 150 paired incidents, GODA lowers burned area by 61% against the closed layer and by 24% against an evolutionary search with the same 36-forecast budget over the same grammar, raises extinguished incidents from 52% to 91%, and lowers response cost by 46% and affected population, the initial residents of burned cells, by 80%. The gated search carries most of the gain: behind the same gates, a search over the closed vocabulary reaches two thirds of it and a random proposer three quarters, whereas a hand-written doctrine over the same effects gains little; with independent gate futures the advantage is 54%. The admitted interventions recur across incidents and, recorded as rules, keep most of the gain on held-out ones. Regional agents partition the decision core, which decides in under one second between model calls.</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simulation-based optimization, large language models, fuzzy systems,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joins several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[3, 4]</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[8, 9]</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5401C1">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[13]</w:t>
          </w:r>
          <w:r>
            <w:fldChar w:fldCharType="end"/>
          </w:r>
        </w:sdtContent>
      </w:sdt>
      <w:r>
        <w:t xml:space="preserve">. GODA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[4, 10]</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 xml:space="preserve">GODA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GODA separates the hazard model from the decision mechanism. Hindcast against satellite fire records assesses spatial agreement, while paired comparisons on identical worlds isolate decision benefits, including under planning-model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[22]</w:t>
          </w:r>
          <w:r w:rsidR="00926552">
            <w:fldChar w:fldCharType="end"/>
          </w:r>
        </w:sdtContent>
      </w:sdt>
      <w:r>
        <w:t xml:space="preserve">, and GODA's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[10]</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[3]</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[23]</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[3, 18]</w:t>
          </w:r>
          <w:r w:rsidR="00474D3B">
            <w:fldChar w:fldCharType="end"/>
          </w:r>
        </w:sdtContent>
      </w:sdt>
      <w:r w:rsidR="00AF4482">
        <w:t xml:space="preserve">, namely fire threat level, suppression feasibility, asset exposure risk, intervention urgency, and evacuation pressure.</w:t>
      </w:r>
      <w:r>
        <w:t xml:space="preserve">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[18]</w:t>
          </w:r>
          <w:r>
            <w:fldChar w:fldCharType="end"/>
          </w:r>
        </w:sdtContent>
      </w:sdt>
      <w:r>
        <w:t xml:space="preserve">.</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[29, 30]</w:t>
          </w:r>
          <w:r>
            <w:fldChar w:fldCharType="end"/>
          </w:r>
        </w:sdtContent>
      </w:sdt>
      <w:r>
        <w:t xml:space="preserve">. These approaches compose known parts within a specified basis, as do simulation-based optimization and learning for suppression planning, which search offline.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[31]</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[32]</w:t>
          </w:r>
          <w:r w:rsidR="00CB5F34">
            <w:fldChar w:fldCharType="end"/>
          </w:r>
        </w:sdtContent>
      </w:sdt>
      <w:r>
        <w:t xml:space="preserve">, keeping the evaluator independent of the proposer.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[33]</w:t>
          </w:r>
          <w:r>
            <w:fldChar w:fldCharType="end"/>
          </w:r>
        </w:sdtContent>
      </w:sdt>
      <w:r>
        <w:t xml:space="preserve"> and LLM-guided evolutionary search </w:t>
      </w:r>
      <w:sdt>
        <w:sdtPr>
          <w:id w:val="-894616777"/>
          <w:citation/>
        </w:sdtPr>
        <w:sdtEndPr/>
        <w:sdtContent>
          <w:r>
            <w:fldChar w:fldCharType="begin"/>
          </w:r>
          <w:r>
            <w:instrText xml:space="preserve"> CITATION Liu24 \l 1033 </w:instrText>
          </w:r>
          <w:r>
            <w:fldChar w:fldCharType="separate"/>
          </w:r>
          <w:r>
            <w:rPr>
              <w:noProof/>
            </w:rPr>
            <w:t>[34]</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[35]</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[36]</w:t>
          </w:r>
          <w:r>
            <w:fldChar w:fldCharType="end"/>
          </w:r>
        </w:sdtContent>
      </w:sdt>
      <w:r>
        <w:t xml:space="preserve"> and stochastic programming for initial-attack dispatch </w:t>
      </w:r>
      <w:sdt>
        <w:sdtPr>
          <w:id w:val="-621484213"/>
          <w:citation/>
        </w:sdtPr>
        <w:sdtEndPr/>
        <w:sdtContent>
          <w:r>
            <w:fldChar w:fldCharType="begin"/>
          </w:r>
          <w:r>
            <w:instrText xml:space="preserve"> CITATION Ntaimo12 \l 1033 \m Haight07 </w:instrText>
          </w:r>
          <w:r>
            <w:fldChar w:fldCharType="separate"/>
          </w:r>
          <w:r>
            <w:rPr>
              <w:noProof/>
            </w:rPr>
            <w:t>[37, 38]</w:t>
          </w:r>
          <w:r>
            <w:fldChar w:fldCharType="end"/>
          </w:r>
        </w:sdtContent>
      </w:sdt>
      <w:r>
        <w:t xml:space="preserve"> and mixed-integer models of suppression placement </w:t>
      </w:r>
      <w:sdt>
        <w:sdtPr>
          <w:id w:val="-934007746"/>
          <w:citation/>
        </w:sdtPr>
        <w:sdtEndPr/>
        <w:sdtContent>
          <w:r>
            <w:fldChar w:fldCharType="begin"/>
          </w:r>
          <w:r>
            <w:instrText xml:space="preserve"> CITATION Belval15 \l 1033 </w:instrText>
          </w:r>
          <w:r>
            <w:fldChar w:fldCharType="separate"/>
          </w:r>
          <w:r>
            <w:rPr>
              <w:noProof/>
            </w:rPr>
            <w:t>[39]</w:t>
          </w:r>
          <w:r>
            <w:fldChar w:fldCharType="end"/>
          </w:r>
        </w:sdtContent>
      </w:sdt>
      <w:r>
        <w:t xml:space="preserve"> also search a fixed vocabulary, but offline, whereas the search here runs during the incident on its forecasts.</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[40]</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[41]</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[42]</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[43]</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[44]</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[45]</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[46]</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[47]</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[48]</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[49]</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[50]</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r>
      <w:r>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[51]</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Both layers reason from the observation, the closed layer through its features and the open layer through shadow forecasts, which the decision core runs on its own copy of the hazard model, the shadow core.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shadow forecasts. The same random states isolate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w:t>
      </w:r>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[52]</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[53]</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2D64B8C0" w14:textId="77777777" w:rsidR="00096354" w:rsidRDefault="00096354">
      <w:pPr>
        <w:pStyle w:val="Text"/>
        <w:rPr>
          <w:sz w:val="12"/>
          <w:szCs w:val="12"/>
        </w:rPr>
      </w:pPr>
    </w:p>
    <w:p w14:paraId="0C105F77" w14:textId="77777777" w:rsidR="00096354" w:rsidRDefault="00D31F60">
      <w:pPr>
        <w:pStyle w:val="Text"/>
      </w:pPr>
      <w:r>
        <w:t xml:space="preserve">The intensity proxy is a bounded function</w:t>
      </w:r>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5401C1">
            <w:rPr>
              <w:noProof/>
            </w:rPr>
            <w:t>[54]</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and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6</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over wind, slope, aspect, moisture, and fuel type. Each front substep spans at most one cell, and spread rates are expressed in cell lengths per substep, so Ψk and Θign are dimensionless;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7</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8</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 xml:space="preserve">), namely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 xml:space="preserve">).</w:t>
      </w:r>
    </w:p>
    <w:p w14:paraId="69E58B39" w14:textId="77777777" w:rsidR="00510E30" w:rsidRDefault="00D31F60">
      <w:pPr>
        <w:pStyle w:val="Text"/>
      </w:pPr>
      <w:r>
        <w:t xml:space="preserve">Extraction maps and their constants, which follow the fire-weather index [55] and the operational priority method [56],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9</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10</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20</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11</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13</w:t>
      </w:r>
      <w:r>
        <w:fldChar w:fldCharType="end"/>
      </w:r>
      <w:r>
        <w:t>), used by (</w:t>
      </w:r>
      <w:r>
        <w:fldChar w:fldCharType="begin"/>
      </w:r>
      <w:r>
        <w:instrText xml:space="preserve"> REF _RefEqN_sat \h \* CHARFORMAT </w:instrText>
      </w:r>
      <w:r>
        <w:fldChar w:fldCharType="separate"/>
      </w:r>
      <w:r w:rsidR="001C6998">
        <w:t>15</w:t>
      </w:r>
      <w:r>
        <w:fldChar w:fldCharType="end"/>
      </w:r>
      <w:r>
        <w:t>), (</w:t>
      </w:r>
      <w:r>
        <w:fldChar w:fldCharType="begin"/>
      </w:r>
      <w:r>
        <w:instrText xml:space="preserve"> REF _RefEqN_adapt \h \* CHARFORMAT </w:instrText>
      </w:r>
      <w:r>
        <w:fldChar w:fldCharType="separate"/>
      </w:r>
      <w:r w:rsidR="001C6998">
        <w:t>16</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11</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12</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13</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xml:space="preserve">)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xml:space="preserve">) answers an unmet acceptance test.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Decision layer 1, the closed decision space.</w:t>
                        </w:r>
                      </w:p>
                    </w:txbxContent>
                  </v:textbox>
                </v:shape>
                <w10:wrap type="square" anchorx="margin" anchory="margin"/>
              </v:group>
            </w:pict>
          </mc:Fallback>
        </mc:AlternateContent>
      </w:r>
      <w:r w:rsidR="00D31F60">
        <w:t xml:space="preserve">Every candidate is evaluated by shadow forecast.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rsidR="00D31F60">
        <w:t xml:space="preserve">) combines five bounded terms, namely burned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for comparing configurations, since inaction incurs no response cost.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14</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15</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14</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15</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16</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16</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Decision layer 2, the open decision space.</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17</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18</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t xml:space="preserve">The gate chain has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19</w:t>
      </w:r>
      <w:r w:rsidR="00D31F60">
        <w:fldChar w:fldCharType="end"/>
      </w:r>
      <w:r>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G7 and G8 apply to packages, and a plain rule is admitted on G1 to G6. Rejection returns the gate name and forecast values. Admitted objects join the rule base, with their origin and gate values logged, and fire in later cycles. Recorded as doctrine, they can also serve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δadm a small positive margin that excludes ties,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19</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xml:space="preserve">). Up to three additional forecasts evaluate the best candidates on the second future, and the candidate with the greatest gain on its worse future completes G5 to G8. A call admits at most one object and admits nothing when no candidate gains on both futures.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w:t>
      </w:r>
      <w:r>
        <w:t xml:space="preserve"> For both proposers, at most one candidate per call is admitted, and most rejections occur at G1 to G4 and at the first forecast.</w:t>
      </w:r>
    </w:p>
    <w:p w14:paraId="32FCECCD" w14:textId="77777777" w:rsidR="00F30F81" w:rsidRDefault="00D31F60">
      <w:pPr>
        <w:pStyle w:val="Text"/>
      </w:pPr>
      <w:r>
        <w:t xml:space="preserve">Candidate fields are compared with inaction over the 45 min guard horizon, as in G5 to G8; acceptance in (</w:t>
      </w:r>
      <w:r>
        <w:fldChar w:fldCharType="begin"/>
      </w:r>
      <w:r>
        <w:instrText xml:space="preserve"> REF _RefEqN_sat \h \* CHARFORMAT </w:instrText>
      </w:r>
      <w:r>
        <w:fldChar w:fldCharType="separate"/>
      </w:r>
      <w:r w:rsidR="001C6998">
        <w:t>15</w:t>
      </w:r>
      <w:r>
        <w:fldChar w:fldCharType="end"/>
      </w:r>
      <w:r>
        <w:t xml:space="preserve">) uses the shorter planning horizon, and a worse field is restricted to life-safety orders.</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xml:space="preserve">) by priority, scaling suppression effort and resource deployment. Monitored regions face a stricter quality threshold. The coordinator bounds regional draws from G4’s funded pool.</w:t>
      </w:r>
      <w:r>
        <w:t xml:space="preserve">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20</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21</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9</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10</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13</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and forecast on the shadow core,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16</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19</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20</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II</w:t>
      </w:r>
      <w:r>
        <w:fldChar w:fldCharType="end"/>
      </w:r>
      <w:r>
        <w:t xml:space="preserve"> defines S1–S5 for the main campaign and S6–S8 for transfer. Each family has 30 worlds (seeds 201–230); development uses 101–120, on which the thresholds, horizons and the search budget were set and then left unchanged. The rule base starts from the five seeds in every world. Each comparison pairs identical worlds and random states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 xml:space="preserve">Table 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and carry terrain, standard fuel models, settlements with population, roads and water sources; winds of 8 to 12 m/s and dead fuel moisture of 6 to 8% give dry, windy conditions.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 xml:space="preserve">Interface / 12, degraded observation</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Claude Code, one turn per request and tools disabled. The behavior of hosted language models drifts across versions </w:t>
      </w:r>
      <w:sdt>
        <w:sdtPr>
          <w:id w:val="-314533478"/>
          <w:citation/>
        </w:sdtPr>
        <w:sdtEndPr/>
        <w:sdtContent>
          <w:r>
            <w:fldChar w:fldCharType="begin"/>
          </w:r>
          <w:r>
            <w:instrText xml:space="preserve"> CITATION Chen24 \l 1033 </w:instrText>
          </w:r>
          <w:r>
            <w:fldChar w:fldCharType="separate"/>
          </w:r>
          <w:r>
            <w:rPr>
              <w:noProof/>
            </w:rPr>
            <w:t>[57]</w:t>
          </w:r>
          <w:r>
            <w:fldChar w:fldCharType="end"/>
          </w:r>
        </w:sdtContent>
      </w:sdt>
      <w:r>
        <w:t xml:space="preserve">, so the model name is recorded and the repeat run of Table VII reports the run-to-run change. A request asks for six candidates. Full search allows 36 first-future forecasts and up to three additional finalist evaluations; the candidate-only configuration omits variations, and the small random control sets its search budget to six before the finalist forecasts.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An evolutionary search over the same grammar, a population of 12 over three generations with tournament selection, mutation and clause crossover, uses the same budget and gates.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rate, raises fuel moisture and decays by 0.003 per min. The quality threshold η is 0.60, the cost ceiling JTH 0.35, the required gain over inaction δgain 5%.</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the nominal model. One test changes the structure of the spread model: the live world runs a cosine propagation kernel without the wind-elongated ellipse and a short, frequent ember model (three cells, probability 0.06 per step), while every shadow forecast plans on the nominal kernel and ember model.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xml:space="preserve">,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 xml:space="preserve">Timing runs use one process on a desktop CPU (Intel Core i9-10900K, 32 GB RAM, Python 3.14). The CPU harness uses a local structured proposer to isolate computation; its grid, horizon and proposer differ from the campaign and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 xml:space="preserve">Closed / GODA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VI</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37032A11" w14:textId="3322DFE5" w:rsidR="003E3FD9" w:rsidRDefault="00D31F60" w:rsidP="00C83E79">
      <w:pPr>
        <w:pStyle w:val="TableTitle"/>
        <w:keepNext/>
        <w:spacing w:before="120"/>
      </w:pPr>
      <w:bookmarkStart w:id="93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934"/>
    </w:p>
    <w:p w14:paraId="6576F19A"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456"/>
        <w:gridCol w:w="2233"/>
      </w:tblGrid>
      <w:tr w:rsidR="003E3FD9" w14:paraId="04D928E4" w14:textId="77777777" w:rsidTr="009467D2">
        <w:trPr>
          <w:cantSplit/>
          <w:jc w:val="center"/>
        </w:trPr>
        <w:tc>
          <w:tcPr>
            <w:tcW w:w="1200" w:type="pct"/>
          </w:tcPr>
          <w:p w14:paraId="4A925045" w14:textId="77777777" w:rsidR="003E3FD9" w:rsidRDefault="001D185A" w:rsidP="00C83E79">
            <w:r>
              <w:rPr>
                <w:b/>
                <w:sz w:val="15"/>
                <w:szCs w:val="15"/>
              </w:rPr>
              <w:t xml:space="preserve">Tactic, intensity</w:t>
            </w:r>
          </w:p>
        </w:tc>
        <w:tc>
          <w:tcPr>
            <w:tcW w:w="1500" w:type="pct"/>
          </w:tcPr>
          <w:p w14:paraId="2431828A" w14:textId="77777777" w:rsidR="003E3FD9" w:rsidRDefault="00D31F60" w:rsidP="00C83E79">
            <w:pPr>
              <w:jc w:val="center"/>
            </w:pPr>
            <w:r>
              <w:rPr>
                <w:b/>
                <w:sz w:val="15"/>
                <w:szCs w:val="15"/>
              </w:rPr>
              <w:t xml:space="preserve">Antecedent</w:t>
            </w:r>
          </w:p>
        </w:tc>
        <w:tc>
          <w:tcPr>
            <w:tcW w:w="2300" w:type="pct"/>
          </w:tcPr>
          <w:p w14:paraId="21260920" w14:textId="77777777" w:rsidR="003E3FD9" w:rsidRDefault="00D31F60" w:rsidP="00C83E79">
            <w:pPr>
              <w:jc w:val="center"/>
            </w:pPr>
            <w:r>
              <w:rPr>
                <w:b/>
                <w:sz w:val="15"/>
                <w:szCs w:val="15"/>
              </w:rPr>
              <w:t xml:space="preserve">Clauses, effect sector band amount</w:t>
            </w:r>
          </w:p>
        </w:tc>
      </w:tr>
      <w:tr w:rsidR="003E3FD9" w14:paraId="7A65AE9C" w14:textId="77777777" w:rsidTr="009467D2">
        <w:trPr>
          <w:cantSplit/>
          <w:jc w:val="center"/>
        </w:trPr>
        <w:tc>
          <w:tcPr>
            <w:tcW w:w="1200" w:type="pct"/>
          </w:tcPr>
          <w:p w14:paraId="084D7D6A" w14:textId="77777777" w:rsidR="003E3FD9" w:rsidRDefault="00D31F60" w:rsidP="00C83E79">
            <w:r>
              <w:rPr>
                <w:sz w:val="15"/>
                <w:szCs w:val="15"/>
              </w:rPr>
              <w:t xml:space="preserve">head retardant line, 1.0</w:t>
            </w:r>
          </w:p>
        </w:tc>
        <w:tc>
          <w:tcPr>
            <w:tcW w:w="1500" w:type="pct"/>
          </w:tcPr>
          <w:p w14:paraId="6EB5C564" w14:textId="77777777" w:rsidR="003E3FD9" w:rsidRDefault="00D31F60" w:rsidP="00C83E79">
            <w:pPr>
              <w:jc w:val="center"/>
            </w:pPr>
            <w:r>
              <w:rPr>
                <w:sz w:val="15"/>
                <w:szCs w:val="15"/>
              </w:rPr>
              <w:t xml:space="preserve">fire threat high</w:t>
            </w:r>
          </w:p>
        </w:tc>
        <w:tc>
          <w:tcPr>
            <w:tcW w:w="2300" w:type="pct"/>
          </w:tcPr>
          <w:p w14:paraId="36DCA094" w14:textId="77777777" w:rsidR="003E3FD9" w:rsidRDefault="00D31F60" w:rsidP="00C83E79">
            <w:pPr>
              <w:jc w:val="center"/>
            </w:pPr>
            <w:r>
              <w:rPr>
                <w:sz w:val="15"/>
                <w:szCs w:val="15"/>
              </w:rPr>
              <w:t xml:space="preserve">coat head 2–6 1.0</w:t>
            </w:r>
          </w:p>
        </w:tc>
      </w:tr>
      <w:tr w:rsidR="003E3FD9" w14:paraId="33AFFA0D" w14:textId="77777777" w:rsidTr="009467D2">
        <w:trPr>
          <w:cantSplit/>
          <w:jc w:val="center"/>
        </w:trPr>
        <w:tc>
          <w:tcPr>
            <w:tcW w:w="1200" w:type="pct"/>
          </w:tcPr>
          <w:p w14:paraId="7A9BDF52" w14:textId="77777777" w:rsidR="003E3FD9" w:rsidRDefault="00D31F60" w:rsidP="00C83E79">
            <w:r>
              <w:rPr>
                <w:sz w:val="15"/>
                <w:szCs w:val="15"/>
              </w:rPr>
              <w:t xml:space="preserve">structure protection, 1.0</w:t>
            </w:r>
          </w:p>
        </w:tc>
        <w:tc>
          <w:tcPr>
            <w:tcW w:w="1500" w:type="pct"/>
          </w:tcPr>
          <w:p w14:paraId="1EB7059D" w14:textId="77777777" w:rsidR="003E3FD9" w:rsidRDefault="00D31F60" w:rsidP="00C83E79">
            <w:pPr>
              <w:jc w:val="center"/>
            </w:pPr>
            <w:r>
              <w:rPr>
                <w:sz w:val="15"/>
                <w:szCs w:val="15"/>
              </w:rPr>
              <w:t xml:space="preserve">asset exposure high</w:t>
            </w:r>
          </w:p>
        </w:tc>
        <w:tc>
          <w:tcPr>
            <w:tcW w:w="2300" w:type="pct"/>
          </w:tcPr>
          <w:p w14:paraId="32B3FD56" w14:textId="77777777" w:rsidR="003E3FD9" w:rsidRDefault="00D31F60" w:rsidP="00C83E79">
            <w:pPr>
              <w:jc w:val="center"/>
            </w:pPr>
            <w:r>
              <w:rPr>
                <w:sz w:val="15"/>
                <w:szCs w:val="15"/>
              </w:rPr>
              <w:t xml:space="preserve">wet populated 0–2 1.0; coat assets 0–3 0.8</w:t>
            </w:r>
          </w:p>
        </w:tc>
      </w:tr>
      <w:tr w:rsidR="003E3FD9" w14:paraId="12E41159" w14:textId="77777777" w:rsidTr="009467D2">
        <w:trPr>
          <w:cantSplit/>
          <w:jc w:val="center"/>
        </w:trPr>
        <w:tc>
          <w:tcPr>
            <w:tcW w:w="1200" w:type="pct"/>
          </w:tcPr>
          <w:p w14:paraId="07E23EDE" w14:textId="77777777" w:rsidR="003E3FD9" w:rsidRDefault="00D31F60" w:rsidP="00C83E79">
            <w:r>
              <w:rPr>
                <w:sz w:val="15"/>
                <w:szCs w:val="15"/>
              </w:rPr>
              <w:t xml:space="preserve">flank line, 0.9</w:t>
            </w:r>
          </w:p>
        </w:tc>
        <w:tc>
          <w:tcPr>
            <w:tcW w:w="1500" w:type="pct"/>
          </w:tcPr>
          <w:p w14:paraId="2BCF2E86" w14:textId="77777777" w:rsidR="003E3FD9" w:rsidRDefault="00D31F60" w:rsidP="00C83E79">
            <w:pPr>
              <w:jc w:val="center"/>
            </w:pPr>
            <w:r>
              <w:rPr>
                <w:sz w:val="15"/>
                <w:szCs w:val="15"/>
              </w:rPr>
              <w:t xml:space="preserve">suppression feasibility high and fire threat medium</w:t>
            </w:r>
          </w:p>
        </w:tc>
        <w:tc>
          <w:tcPr>
            <w:tcW w:w="2300" w:type="pct"/>
          </w:tcPr>
          <w:p w14:paraId="196D66CB" w14:textId="77777777" w:rsidR="003E3FD9" w:rsidRDefault="00D31F60" w:rsidP="00C83E79">
            <w:pPr>
              <w:jc w:val="center"/>
            </w:pPr>
            <w:r>
              <w:rPr>
                <w:sz w:val="15"/>
                <w:szCs w:val="15"/>
              </w:rPr>
              <w:t xml:space="preserve">clear flank 0–2 1.0</w:t>
            </w:r>
          </w:p>
        </w:tc>
      </w:tr>
      <w:tr w:rsidR="003E3FD9" w14:paraId="4D2C982A" w14:textId="77777777" w:rsidTr="009467D2">
        <w:trPr>
          <w:cantSplit/>
          <w:jc w:val="center"/>
        </w:trPr>
        <w:tc>
          <w:tcPr>
            <w:tcW w:w="1200" w:type="pct"/>
          </w:tcPr>
          <w:p w14:paraId="76082401" w14:textId="77777777" w:rsidR="003E3FD9" w:rsidRDefault="00D31F60" w:rsidP="00C83E79">
            <w:r>
              <w:rPr>
                <w:sz w:val="15"/>
                <w:szCs w:val="15"/>
              </w:rPr>
              <w:t xml:space="preserve">rear anchor, 0.8</w:t>
            </w:r>
          </w:p>
        </w:tc>
        <w:tc>
          <w:tcPr>
            <w:tcW w:w="1500" w:type="pct"/>
          </w:tcPr>
          <w:p w14:paraId="72209264" w14:textId="77777777" w:rsidR="003E3FD9" w:rsidRDefault="00D31F60" w:rsidP="00C83E79">
            <w:pPr>
              <w:jc w:val="center"/>
            </w:pPr>
            <w:r>
              <w:rPr>
                <w:sz w:val="15"/>
                <w:szCs w:val="15"/>
              </w:rPr>
              <w:t xml:space="preserve">suppression feasibility medium</w:t>
            </w:r>
          </w:p>
        </w:tc>
        <w:tc>
          <w:tcPr>
            <w:tcW w:w="2300" w:type="pct"/>
          </w:tcPr>
          <w:p w14:paraId="2FF51647" w14:textId="77777777" w:rsidR="003E3FD9" w:rsidRDefault="00D31F60" w:rsidP="00C83E79">
            <w:pPr>
              <w:jc w:val="center"/>
            </w:pPr>
            <w:r>
              <w:rPr>
                <w:sz w:val="15"/>
                <w:szCs w:val="15"/>
              </w:rPr>
              <w:t xml:space="preserve">wet rear 0–2 1.0</w:t>
            </w:r>
          </w:p>
        </w:tc>
      </w:tr>
      <w:tr w:rsidR="003E3FD9" w14:paraId="5A1B87FC" w14:textId="77777777" w:rsidTr="009467D2">
        <w:trPr>
          <w:cantSplit/>
          <w:jc w:val="center"/>
        </w:trPr>
        <w:tc>
          <w:tcPr>
            <w:tcW w:w="1200" w:type="pct"/>
          </w:tcPr>
          <w:p w14:paraId="2BF123CA" w14:textId="77777777" w:rsidR="003E3FD9" w:rsidRDefault="00D31F60" w:rsidP="00C83E79">
            <w:r>
              <w:rPr>
                <w:sz w:val="15"/>
                <w:szCs w:val="15"/>
              </w:rPr>
              <w:t xml:space="preserve">evacuation belt, 1.0</w:t>
            </w:r>
          </w:p>
        </w:tc>
        <w:tc>
          <w:tcPr>
            <w:tcW w:w="1500" w:type="pct"/>
          </w:tcPr>
          <w:p w14:paraId="0203364B" w14:textId="77777777" w:rsidR="003E3FD9" w:rsidRDefault="00D31F60" w:rsidP="00C83E79">
            <w:pPr>
              <w:jc w:val="center"/>
            </w:pPr>
            <w:r>
              <w:rPr>
                <w:sz w:val="15"/>
                <w:szCs w:val="15"/>
              </w:rPr>
              <w:t xml:space="preserve">evacuation pressure high</w:t>
            </w:r>
          </w:p>
        </w:tc>
        <w:tc>
          <w:tcPr>
            <w:tcW w:w="2300" w:type="pct"/>
          </w:tcPr>
          <w:p w14:paraId="03452CD3" w14:textId="77777777" w:rsidR="003E3FD9" w:rsidRDefault="00D31F60" w:rsidP="00C83E79">
            <w:pPr>
              <w:jc w:val="center"/>
            </w:pPr>
            <w:r>
              <w:rPr>
                <w:sz w:val="15"/>
                <w:szCs w:val="15"/>
              </w:rPr>
              <w:t xml:space="preserve">prime populated 0–4 1.0; evacuate populated 0–2 1.0</w:t>
            </w:r>
          </w:p>
        </w:tc>
      </w:tr>
      <w:tr w:rsidR="003E3FD9" w14:paraId="2AB1ED91" w14:textId="77777777" w:rsidTr="009467D2">
        <w:trPr>
          <w:cantSplit/>
          <w:jc w:val="center"/>
        </w:trPr>
        <w:tc>
          <w:tcPr>
            <w:tcW w:w="1200" w:type="pct"/>
          </w:tcPr>
          <w:p w14:paraId="1D2AA9A0" w14:textId="77777777" w:rsidR="003E3FD9" w:rsidRDefault="00D31F60" w:rsidP="00C83E79">
            <w:r>
              <w:rPr>
                <w:sz w:val="15"/>
                <w:szCs w:val="15"/>
              </w:rPr>
              <w:t xml:space="preserve">burnout behind line, 0.8</w:t>
            </w:r>
          </w:p>
        </w:tc>
        <w:tc>
          <w:tcPr>
            <w:tcW w:w="1500" w:type="pct"/>
          </w:tcPr>
          <w:p w14:paraId="0BADA212" w14:textId="77777777" w:rsidR="003E3FD9" w:rsidRDefault="00D31F60" w:rsidP="00C83E79">
            <w:pPr>
              <w:jc w:val="center"/>
            </w:pPr>
            <w:r>
              <w:rPr>
                <w:sz w:val="15"/>
                <w:szCs w:val="15"/>
              </w:rPr>
              <w:t xml:space="preserve">suppression feasibility very high and fire threat high</w:t>
            </w:r>
          </w:p>
        </w:tc>
        <w:tc>
          <w:tcPr>
            <w:tcW w:w="2300" w:type="pct"/>
          </w:tcPr>
          <w:p w14:paraId="6F4FABFE" w14:textId="77777777" w:rsidR="003E3FD9" w:rsidRDefault="00D31F60" w:rsidP="00C83E79">
            <w:pPr>
              <w:jc w:val="center"/>
            </w:pPr>
            <w:r>
              <w:rPr>
                <w:sz w:val="15"/>
                <w:szCs w:val="15"/>
              </w:rPr>
              <w:t xml:space="preserve">clear head 5–6 1.0; ignite head 3–4 0.6</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These measures and cost components are reported with 95% uncertainty in </w:t>
      </w:r>
      <w:r>
        <w:fldChar w:fldCharType="begin"/>
      </w:r>
      <w:r>
        <w:instrText>REF _RefTab_fam \h</w:instrText>
      </w:r>
      <w:r>
        <w:fldChar w:fldCharType="separate"/>
      </w:r>
      <w:r w:rsidR="001C6998">
        <w:t xml:space="preserve">Table VI</w:t>
      </w:r>
      <w:r>
        <w:fldChar w:fldCharType="end"/>
      </w:r>
      <w:r>
        <w:t xml:space="preserve">.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extinguished fractions use Wilson intervals in brackets. Changes are differences of paired means relative to the reference mean. Negative changes indicate lower area or cost. The main 150-world comparison gives a two-sided paired sign-flip p &lt; 0.0001 after Bonferroni correction for 35 aggregate comparisons, namely the main comparison and every other row of Tables VII and VIII, using one million random sign assignments. Percentage half-widths divide the paired half-width by the reference mean.</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(Sc1–Sc4). Inputs are Copernicus GLO-30 terrain, ESA WorldCover 2021 fuel, ERA5 weather and VIIRS ignitions and burn detections, with no tuning to these fires. The observed first-12-h footprint is rasterized at 90 m and closed by one VIIRS pixel. Each free-spread run is compared at equal burned area, so the scores measure shape and position rather than rate of spread, which the recorded fires, fought from their first hours, do not constrain. </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Sc1</w:t>
            </w:r>
          </w:p>
        </w:tc>
        <w:tc>
          <w:tcPr>
            <w:tcW w:w="675" w:type="pct"/>
          </w:tcPr>
          <w:p w14:paraId="59C663EA" w14:textId="77777777" w:rsidR="003E3FD9" w:rsidRPr="00E107C1" w:rsidRDefault="00D31F60">
            <w:pPr>
              <w:keepNext/>
              <w:jc w:val="center"/>
              <w:rPr>
                <w:sz w:val="16"/>
                <w:szCs w:val="16"/>
              </w:rPr>
            </w:pPr>
            <w:r w:rsidRPr="00E107C1">
              <w:rPr>
                <w:b/>
                <w:sz w:val="16"/>
                <w:szCs w:val="16"/>
              </w:rPr>
              <w:t>Sc2</w:t>
            </w:r>
          </w:p>
        </w:tc>
        <w:tc>
          <w:tcPr>
            <w:tcW w:w="675" w:type="pct"/>
          </w:tcPr>
          <w:p w14:paraId="2AF3FD0C" w14:textId="77777777" w:rsidR="003E3FD9" w:rsidRPr="00E107C1" w:rsidRDefault="00D31F60">
            <w:pPr>
              <w:keepNext/>
              <w:jc w:val="center"/>
              <w:rPr>
                <w:sz w:val="16"/>
                <w:szCs w:val="16"/>
              </w:rPr>
            </w:pPr>
            <w:r w:rsidRPr="00E107C1">
              <w:rPr>
                <w:b/>
                <w:sz w:val="16"/>
                <w:szCs w:val="16"/>
              </w:rPr>
              <w:t>Sc3</w:t>
            </w:r>
          </w:p>
        </w:tc>
        <w:tc>
          <w:tcPr>
            <w:tcW w:w="678" w:type="pct"/>
          </w:tcPr>
          <w:p w14:paraId="6D3F848E" w14:textId="77777777" w:rsidR="003E3FD9" w:rsidRPr="00E107C1" w:rsidRDefault="00D31F60">
            <w:pPr>
              <w:keepNext/>
              <w:jc w:val="center"/>
              <w:rPr>
                <w:sz w:val="16"/>
                <w:szCs w:val="16"/>
              </w:rPr>
            </w:pPr>
            <w:r w:rsidRPr="00E107C1">
              <w:rPr>
                <w:b/>
                <w:sz w:val="16"/>
                <w:szCs w:val="16"/>
              </w:rPr>
              <w:t>Sc4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83%</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89%</w:t>
            </w:r>
          </w:p>
        </w:tc>
        <w:tc>
          <w:tcPr>
            <w:tcW w:w="678" w:type="pct"/>
          </w:tcPr>
          <w:p w14:paraId="3F5DDE4B" w14:textId="77777777" w:rsidR="003E3FD9" w:rsidRPr="00E107C1" w:rsidRDefault="00D31F60">
            <w:pPr>
              <w:keepNext/>
              <w:jc w:val="center"/>
              <w:rPr>
                <w:sz w:val="16"/>
                <w:szCs w:val="16"/>
              </w:rPr>
            </w:pPr>
            <w:r w:rsidRPr="00E107C1">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92%</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98%</w:t>
            </w:r>
          </w:p>
        </w:tc>
        <w:tc>
          <w:tcPr>
            <w:tcW w:w="678" w:type="pct"/>
          </w:tcPr>
          <w:p w14:paraId="14B32199" w14:textId="77777777" w:rsidR="003E3FD9" w:rsidRPr="00E107C1" w:rsidRDefault="00D31F60">
            <w:pPr>
              <w:keepNext/>
              <w:jc w:val="center"/>
              <w:rPr>
                <w:sz w:val="16"/>
                <w:szCs w:val="16"/>
              </w:rPr>
            </w:pPr>
            <w:r w:rsidRPr="00E107C1">
              <w:rPr>
                <w:sz w:val="16"/>
                <w:szCs w:val="16"/>
              </w:rPr>
              <w:t>82%</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315</w:t>
            </w:r>
          </w:p>
        </w:tc>
        <w:tc>
          <w:tcPr>
            <w:tcW w:w="675" w:type="pct"/>
          </w:tcPr>
          <w:p w14:paraId="7B92E573" w14:textId="77777777" w:rsidR="003E3FD9" w:rsidRPr="00E107C1" w:rsidRDefault="00D31F60">
            <w:pPr>
              <w:keepNext/>
              <w:jc w:val="center"/>
              <w:rPr>
                <w:sz w:val="16"/>
                <w:szCs w:val="16"/>
              </w:rPr>
            </w:pPr>
            <w:r w:rsidRPr="00E107C1">
              <w:rPr>
                <w:sz w:val="16"/>
                <w:szCs w:val="16"/>
              </w:rPr>
              <w:t>345</w:t>
            </w:r>
          </w:p>
        </w:tc>
        <w:tc>
          <w:tcPr>
            <w:tcW w:w="675" w:type="pct"/>
          </w:tcPr>
          <w:p w14:paraId="4D7955FB" w14:textId="77777777" w:rsidR="003E3FD9" w:rsidRPr="00E107C1" w:rsidRDefault="00D31F60">
            <w:pPr>
              <w:keepNext/>
              <w:jc w:val="center"/>
              <w:rPr>
                <w:sz w:val="16"/>
                <w:szCs w:val="16"/>
              </w:rPr>
            </w:pPr>
            <w:r w:rsidRPr="00E107C1">
              <w:rPr>
                <w:sz w:val="16"/>
                <w:szCs w:val="16"/>
              </w:rPr>
              <w:t>109</w:t>
            </w:r>
          </w:p>
        </w:tc>
        <w:tc>
          <w:tcPr>
            <w:tcW w:w="678" w:type="pct"/>
          </w:tcPr>
          <w:p w14:paraId="42E449A3" w14:textId="77777777" w:rsidR="003E3FD9" w:rsidRPr="00E107C1" w:rsidRDefault="00D31F60">
            <w:pPr>
              <w:keepNext/>
              <w:jc w:val="center"/>
              <w:rPr>
                <w:sz w:val="16"/>
                <w:szCs w:val="16"/>
              </w:rPr>
            </w:pPr>
            <w:r w:rsidRPr="00E107C1">
              <w:rPr>
                <w:sz w:val="16"/>
                <w:szCs w:val="16"/>
              </w:rPr>
              <w:t>477</w:t>
            </w:r>
          </w:p>
        </w:tc>
      </w:tr>
      <w:tr w:rsidR="003E3FD9" w:rsidRPr="00E107C1" w14:paraId="62129A38" w14:textId="77777777" w:rsidTr="00660615">
        <w:trPr>
          <w:cantSplit/>
          <w:jc w:val="center"/>
        </w:trPr>
        <w:tc>
          <w:tcPr>
            <w:tcW w:w="2299" w:type="pct"/>
          </w:tcPr>
          <w:p w14:paraId="3854D704" w14:textId="77777777" w:rsidR="00D83EA8" w:rsidRDefault="00106F55">
            <w:pPr>
              <w:rPr>
                <w:sz w:val="16"/>
                <w:szCs w:val="16"/>
              </w:rPr>
            </w:pPr>
          </w:p>
        </w:tc>
        <w:tc>
          <w:tcPr>
            <w:tcW w:w="675" w:type="pct"/>
          </w:tcPr>
          <w:p w14:paraId="29C98467" w14:textId="77777777" w:rsidR="00D83EA8" w:rsidRDefault="00106F55">
            <w:pPr>
              <w:jc w:val="center"/>
              <w:rPr>
                <w:sz w:val="16"/>
                <w:szCs w:val="16"/>
              </w:rPr>
            </w:pPr>
          </w:p>
        </w:tc>
        <w:tc>
          <w:tcPr>
            <w:tcW w:w="675" w:type="pct"/>
          </w:tcPr>
          <w:p w14:paraId="32E935FD" w14:textId="77777777" w:rsidR="00D83EA8" w:rsidRDefault="00106F55">
            <w:pPr>
              <w:jc w:val="center"/>
              <w:rPr>
                <w:sz w:val="16"/>
                <w:szCs w:val="16"/>
              </w:rPr>
            </w:pPr>
          </w:p>
        </w:tc>
        <w:tc>
          <w:tcPr>
            <w:tcW w:w="675" w:type="pct"/>
          </w:tcPr>
          <w:p w14:paraId="37C90B32" w14:textId="77777777" w:rsidR="00D83EA8" w:rsidRDefault="00106F55">
            <w:pPr>
              <w:jc w:val="center"/>
              <w:rPr>
                <w:sz w:val="16"/>
                <w:szCs w:val="16"/>
              </w:rPr>
            </w:pPr>
          </w:p>
        </w:tc>
        <w:tc>
          <w:tcPr>
            <w:tcW w:w="678" w:type="pct"/>
          </w:tcPr>
          <w:p w14:paraId="36BF404D" w14:textId="77777777" w:rsidR="00D83EA8" w:rsidRDefault="00106F55">
            <w:pPr>
              <w:jc w:val="center"/>
              <w:rPr>
                <w:sz w:val="16"/>
                <w:szCs w:val="16"/>
              </w:rPr>
            </w:pPr>
          </w:p>
        </w:tc>
      </w:tr>
    </w:tbl>
    <w:p w14:paraId="7EB344C9" w14:textId="18F93FF3" w:rsidR="00FF0CB1" w:rsidRDefault="00DB0B75">
      <w:pPr>
        <w:pStyle w:val="Text"/>
        <w:spacing w:before="120" w:line="240" w:lineRule="auto"/>
        <w:rPr>
          <w:noProof/>
        </w:rPr>
      </w:pPr>
      <w:r>
        <w:t xml:space="preserve">Across 50 replicates per fire, detection probability is 0.82–0.98 and front agreement 0.83–0.89; the standard deviation over replicates stays below 0.01 in detection probability and below 15 m in front distance. An equal-area disk around the ignition point, the reference without a spread model, gives detection probability 0.21–0.47 and front agreement 0.24–0.50 on the same footprints.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w:t>
      </w:r>
      <w:r>
        <w:fldChar w:fldCharType="begin"/>
      </w:r>
      <w:r>
        <w:instrText>REF _RefFig5 \h</w:instrText>
      </w:r>
      <w:r>
        <w:fldChar w:fldCharType="separate"/>
      </w:r>
      <w:r w:rsidR="001C6998">
        <w:rPr>
          <w:sz w:val="18"/>
        </w:rPr>
        <w:t xml:space="preserve">Fig. 5</w:t>
      </w:r>
      <w:r>
        <w:fldChar w:fldCharType="end"/>
      </w:r>
      <w:r>
        <w:t xml:space="preserve"> shows the spatial comparison. The hindcast establishes that the core reproduces the shape of recorded footprints.</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(14) from 0.2 to 1 narrows the total-cost advantage from 48% to 31 ± 7%, better in 108 worlds, and leaves the area result unchanged. Later admission raises dispatch-delay cost by 36%, included in the total, because admitted objects commit capacity later in the incident than the seed rules; this is the price of waiting for a forecast gain. Extinguished incidents rise from 52% to 91%; GODA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2760" w:type="dxa"/>
            <w:gridSpan w:val="2"/>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 xml:space="preserve">GODA</w:t>
            </w:r>
          </w:p>
        </w:tc>
      </w:tr>
      <w:tr w:rsidR="00CB2143" w14:paraId="0329EAB3" w14:textId="77777777" w:rsidTr="00074B69">
        <w:tc>
          <w:tcPr>
            <w:tcW w:w="2760" w:type="dxa"/>
            <w:gridSpan w:val="2"/>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2760" w:type="dxa"/>
            <w:gridSpan w:val="2"/>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2760" w:type="dxa"/>
            <w:gridSpan w:val="2"/>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2760" w:type="dxa"/>
            <w:gridSpan w:val="2"/>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2760" w:type="dxa"/>
            <w:gridSpan w:val="2"/>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2760" w:type="dxa"/>
            <w:gridSpan w:val="2"/>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2760" w:type="dxa"/>
            <w:gridSpan w:val="2"/>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2760" w:type="dxa"/>
            <w:gridSpan w:val="2"/>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2760" w:type="dxa"/>
            <w:gridSpan w:val="2"/>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2760" w:type="dxa"/>
            <w:gridSpan w:val="2"/>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paired directly, GODA lowers area by 28 ± 20% and total cost by 18 ± 12% against the random control. The random control is a search controller without a language model over the same grammar, budget and gates. Without variations and at the same budget of six forecasts, the candidate-only LLM configuration exceeds the small random control by 14 ± 11 percentage points, so the proposer is measured without the local search; the variations add a further 16 ± 9 points. 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The evolutionary search reaches 49 ± 12%; paired against it, GODA lowers area by a further 24 ± 18% and total cost by 17 ± 11%, better in 81 worlds and worse in 58.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4E97DA77" w14:textId="77777777" w:rsidTr="00074B69">
        <w:tc>
          <w:tcPr>
            <w:tcW w:w="2127" w:type="dxa"/>
          </w:tcPr>
          <w:p w14:paraId="0EA28487" w14:textId="77777777" w:rsidR="00CB2143" w:rsidRDefault="00CB2143" w:rsidP="00074B69">
            <w:pPr>
              <w:keepNext/>
              <w:spacing w:line="220" w:lineRule="auto"/>
            </w:pPr>
            <w:r>
              <w:rPr>
                <w:sz w:val="18"/>
              </w:rPr>
              <w:t>Random, one, ungated</w:t>
            </w:r>
          </w:p>
        </w:tc>
        <w:tc>
          <w:tcPr>
            <w:tcW w:w="1417" w:type="dxa"/>
          </w:tcPr>
          <w:p w14:paraId="7B57F17C" w14:textId="77777777" w:rsidR="00CB2143" w:rsidRDefault="00CB2143" w:rsidP="00074B69">
            <w:pPr>
              <w:keepNext/>
              <w:spacing w:line="220" w:lineRule="auto"/>
              <w:jc w:val="center"/>
            </w:pPr>
            <w:r>
              <w:rPr>
                <w:sz w:val="18"/>
              </w:rPr>
              <w:t>−10 ± 9</w:t>
            </w:r>
          </w:p>
        </w:tc>
        <w:tc>
          <w:tcPr>
            <w:tcW w:w="1559" w:type="dxa"/>
          </w:tcPr>
          <w:p w14:paraId="44866370" w14:textId="77777777" w:rsidR="00CB2143" w:rsidRDefault="00CB2143" w:rsidP="00074B69">
            <w:pPr>
              <w:keepNext/>
              <w:spacing w:line="220" w:lineRule="auto"/>
              <w:jc w:val="center"/>
            </w:pPr>
            <w:r>
              <w:rPr>
                <w:sz w:val="18"/>
              </w:rPr>
              <w:t>−3 ± 7</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0258B794" w14:textId="77777777" w:rsidTr="00074B69">
        <w:tc>
          <w:tcPr>
            <w:tcW w:w="2127" w:type="dxa"/>
          </w:tcPr>
          <w:p w14:paraId="7A8F9FC3" w14:textId="77777777" w:rsidR="00CB2143" w:rsidRDefault="00CB2143" w:rsidP="00074B69">
            <w:pPr>
              <w:keepNext/>
              <w:spacing w:line="220" w:lineRule="auto"/>
            </w:pPr>
            <w:r>
              <w:rPr>
                <w:sz w:val="18"/>
              </w:rPr>
              <w:t>LLM, one, ungated</w:t>
            </w:r>
          </w:p>
        </w:tc>
        <w:tc>
          <w:tcPr>
            <w:tcW w:w="1417" w:type="dxa"/>
          </w:tcPr>
          <w:p w14:paraId="01CE1707" w14:textId="77777777" w:rsidR="00CB2143" w:rsidRDefault="00CB2143" w:rsidP="00074B69">
            <w:pPr>
              <w:keepNext/>
              <w:spacing w:line="220" w:lineRule="auto"/>
              <w:jc w:val="center"/>
            </w:pPr>
            <w:r>
              <w:rPr>
                <w:sz w:val="18"/>
              </w:rPr>
              <w:t>−25 ± 9</w:t>
            </w:r>
          </w:p>
        </w:tc>
        <w:tc>
          <w:tcPr>
            <w:tcW w:w="1559" w:type="dxa"/>
          </w:tcPr>
          <w:p w14:paraId="5ABA456D" w14:textId="77777777" w:rsidR="00CB2143" w:rsidRDefault="00CB2143" w:rsidP="00074B69">
            <w:pPr>
              <w:keepNext/>
              <w:spacing w:line="220" w:lineRule="auto"/>
              <w:jc w:val="center"/>
            </w:pPr>
            <w:r>
              <w:rPr>
                <w:sz w:val="18"/>
              </w:rPr>
              <w:t>−20 ± 7</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EED6C03" w14:textId="77777777" w:rsidTr="00074B69">
        <w:tc>
          <w:tcPr>
            <w:tcW w:w="2127" w:type="dxa"/>
          </w:tcPr>
          <w:p w14:paraId="669C5920" w14:textId="77777777" w:rsidR="00CB2143" w:rsidRDefault="00CB2143" w:rsidP="00074B69">
            <w:pPr>
              <w:keepNext/>
              <w:spacing w:line="220" w:lineRule="auto"/>
            </w:pPr>
            <w:r>
              <w:rPr>
                <w:sz w:val="18"/>
              </w:rPr>
              <w:t>Random, families only</w:t>
            </w:r>
          </w:p>
        </w:tc>
        <w:tc>
          <w:tcPr>
            <w:tcW w:w="1417" w:type="dxa"/>
          </w:tcPr>
          <w:p w14:paraId="1D26DE98" w14:textId="77777777" w:rsidR="00CB2143" w:rsidRDefault="00CB2143" w:rsidP="00074B69">
            <w:pPr>
              <w:keepNext/>
              <w:spacing w:line="220" w:lineRule="auto"/>
              <w:jc w:val="center"/>
            </w:pPr>
            <w:r>
              <w:rPr>
                <w:sz w:val="18"/>
              </w:rPr>
              <w:t>−41 ± 10</w:t>
            </w:r>
          </w:p>
        </w:tc>
        <w:tc>
          <w:tcPr>
            <w:tcW w:w="1559" w:type="dxa"/>
          </w:tcPr>
          <w:p w14:paraId="1E4F69DC" w14:textId="77777777" w:rsidR="00CB2143" w:rsidRDefault="00CB2143" w:rsidP="00074B69">
            <w:pPr>
              <w:keepNext/>
              <w:spacing w:line="220" w:lineRule="auto"/>
              <w:jc w:val="center"/>
            </w:pPr>
            <w:r>
              <w:rPr>
                <w:sz w:val="18"/>
              </w:rPr>
              <w:t>−30 ± 7</w:t>
            </w:r>
          </w:p>
        </w:tc>
      </w:tr>
      <w:tr w:rsidR="00CB2143" w14:paraId="2FA3C33B" w14:textId="77777777" w:rsidTr="00074B69">
        <w:tc>
          <w:tcPr>
            <w:tcW w:w="2127" w:type="dxa"/>
          </w:tcPr>
          <w:p w14:paraId="5BDD2BAF" w14:textId="77777777" w:rsidR="00CB2143" w:rsidRDefault="00CB2143" w:rsidP="00074B69">
            <w:pPr>
              <w:keepNext/>
              <w:spacing w:line="220" w:lineRule="auto"/>
            </w:pPr>
            <w:r>
              <w:rPr>
                <w:sz w:val="18"/>
              </w:rPr>
              <w:t>Random, with variations</w:t>
            </w:r>
          </w:p>
        </w:tc>
        <w:tc>
          <w:tcPr>
            <w:tcW w:w="1417" w:type="dxa"/>
          </w:tcPr>
          <w:p w14:paraId="3FBCBC7E" w14:textId="77777777" w:rsidR="00CB2143" w:rsidRDefault="00CB2143" w:rsidP="00074B69">
            <w:pPr>
              <w:keepNext/>
              <w:spacing w:line="220" w:lineRule="auto"/>
              <w:jc w:val="center"/>
            </w:pPr>
            <w:r>
              <w:rPr>
                <w:sz w:val="18"/>
              </w:rPr>
              <w:t>−34 ± 9</w:t>
            </w:r>
          </w:p>
        </w:tc>
        <w:tc>
          <w:tcPr>
            <w:tcW w:w="1559" w:type="dxa"/>
          </w:tcPr>
          <w:p w14:paraId="3D89E80B" w14:textId="77777777" w:rsidR="00CB2143" w:rsidRDefault="00CB2143" w:rsidP="00074B69">
            <w:pPr>
              <w:keepNext/>
              <w:spacing w:line="220" w:lineRule="auto"/>
              <w:jc w:val="center"/>
            </w:pPr>
            <w:r>
              <w:rPr>
                <w:sz w:val="18"/>
              </w:rPr>
              <w:t>−27 ± 7</w:t>
            </w:r>
          </w:p>
        </w:tc>
      </w:tr>
      <w:tr w:rsidR="00CB2143" w14:paraId="1E34A453" w14:textId="77777777" w:rsidTr="00074B69">
        <w:tc>
          <w:tcPr>
            <w:tcW w:w="2127" w:type="dxa"/>
          </w:tcPr>
          <w:p w14:paraId="1F3F32A9" w14:textId="77777777" w:rsidR="00CB2143" w:rsidRDefault="00CB2143" w:rsidP="00074B69">
            <w:pPr>
              <w:keepNext/>
              <w:spacing w:line="220" w:lineRule="auto"/>
            </w:pPr>
            <w:r>
              <w:rPr>
                <w:sz w:val="18"/>
              </w:rPr>
              <w:t>Evolutionary search</w:t>
            </w:r>
          </w:p>
        </w:tc>
        <w:tc>
          <w:tcPr>
            <w:tcW w:w="1417" w:type="dxa"/>
          </w:tcPr>
          <w:p w14:paraId="744C2942" w14:textId="77777777" w:rsidR="00CB2143" w:rsidRDefault="00CB2143" w:rsidP="00074B69">
            <w:pPr>
              <w:keepNext/>
              <w:spacing w:line="220" w:lineRule="auto"/>
              <w:jc w:val="center"/>
            </w:pPr>
            <w:r>
              <w:rPr>
                <w:sz w:val="18"/>
              </w:rPr>
              <w:t>−49 ± 12</w:t>
            </w:r>
          </w:p>
        </w:tc>
        <w:tc>
          <w:tcPr>
            <w:tcW w:w="1559" w:type="dxa"/>
          </w:tcPr>
          <w:p w14:paraId="0CD3BEC8" w14:textId="77777777" w:rsidR="00CB2143" w:rsidRDefault="00CB2143" w:rsidP="00074B69">
            <w:pPr>
              <w:keepNext/>
              <w:spacing w:line="220" w:lineRule="auto"/>
              <w:jc w:val="center"/>
            </w:pPr>
            <w:r>
              <w:rPr>
                <w:sz w:val="18"/>
              </w:rPr>
              <w:t>−38 ± 9</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 xml:space="preserve">GODA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 xml:space="preserve">GODA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r w:rsidR="00CB2143" w14:paraId="6FEEB272" w14:textId="77777777" w:rsidTr="00074B69">
        <w:tc>
          <w:tcPr>
            <w:tcW w:w="2127" w:type="dxa"/>
          </w:tcPr>
          <w:p w14:paraId="04073796" w14:textId="77777777" w:rsidR="00CB2143" w:rsidRDefault="00CB2143" w:rsidP="00074B69">
            <w:pPr>
              <w:spacing w:line="220" w:lineRule="auto"/>
            </w:pPr>
            <w:r>
              <w:rPr>
                <w:sz w:val="18"/>
              </w:rPr>
              <w:t>Spread kernel and ember model</w:t>
            </w:r>
          </w:p>
        </w:tc>
        <w:tc>
          <w:tcPr>
            <w:tcW w:w="1417" w:type="dxa"/>
          </w:tcPr>
          <w:p w14:paraId="4CE8751C" w14:textId="77777777" w:rsidR="00CB2143" w:rsidRDefault="00CB2143" w:rsidP="00074B69">
            <w:pPr>
              <w:spacing w:line="220" w:lineRule="auto"/>
              <w:jc w:val="center"/>
            </w:pPr>
            <w:r>
              <w:rPr>
                <w:sz w:val="18"/>
              </w:rPr>
              <w:t>−56 ± 12</w:t>
            </w:r>
          </w:p>
        </w:tc>
        <w:tc>
          <w:tcPr>
            <w:tcW w:w="1559" w:type="dxa"/>
          </w:tcPr>
          <w:p w14:paraId="3BBF406B" w14:textId="77777777" w:rsidR="00CB2143" w:rsidRDefault="00CB2143" w:rsidP="00074B69">
            <w:pPr>
              <w:spacing w:line="220" w:lineRule="auto"/>
              <w:jc w:val="center"/>
            </w:pPr>
            <w:r>
              <w:rPr>
                <w:sz w:val="18"/>
              </w:rPr>
              <w:t>−45 ± 9</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With weakened coating the advantage is 54 ± 12%, and with the coating effect removed the remaining mechanisms still give 33 ± 9%; these settings bracket the variation of retardant and line effectiveness with intensity and timing reported in [53], and across them the advantage runs from 33% to 61%. Known price, stock and delay limits retain 60%, 53% and 50%, respectively. In the 44 nominal worlds where GODA fields no coating, a subset it selects itself, area still falls by 34 ± 18% and 36 incidents are extinguished, against 70 ± 16% in the other 106; 181 of the 359 admitted objects contain no coating clause. Wind direction errors retain 58% and 63% area reductions, and a 50% speed error leaves 44 ± 12%, with 73% of incidents extinguished. Under the structurally different spread model, where the shape of the front and the mechanism of long-range ignition differ between the planner and the world, the advantage is 56 ± 12% with 85% of incidents extinguished against 52%, worse in 7 of 150 worlds.</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The four recorded tactics are the composed interventions admitted in at least 7 of the 75 derivation worlds, a fixed rule applied before the transfer tests; they are line and attack, interface hardening, asset collar (logged under the model's own name, populated ready belt), and head coating; all four are ordinary initial-attack moves, retardant ahead of the head or around a settlement and lines blended with attack or protection, placed by forecast; they differ from the hand-written tactics of Table IV in their antecedents, bands and amounts, which the search set on forecasts rather than by hand.</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composed interventions carried as rules of the doctrine, carry most of it: derived from 75 worlds and used as doctrine on 75 held-out worlds of the same families,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1F41BC73" w14:textId="77777777" w:rsidTr="00BE6A21">
        <w:trPr/>
        <w:tc>
          <w:tcPr>
            <w:tcW w:w="2977"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851" w:type="dxa"/>
            <w:vAlign w:val="center"/>
          </w:tcPr>
          <w:p w14:paraId="5773663B" w14:textId="77777777" w:rsidR="00FF0CB1" w:rsidRDefault="00DB0B75">
            <w:pPr>
              <w:keepNext/>
              <w:spacing w:line="220" w:lineRule="auto"/>
              <w:jc w:val="center"/>
              <w:rPr/>
            </w:pPr>
            <w:r>
              <w:rPr>
                <w:sz w:val="18"/>
              </w:rPr>
              <w:t xml:space="preserve">−9 ± 6</w:t>
            </w:r>
          </w:p>
        </w:tc>
        <w:tc>
          <w:tcPr>
            <w:tcW w:w="787" w:type="dxa"/>
            <w:vAlign w:val="center"/>
          </w:tcPr>
          <w:p w14:paraId="0125B948" w14:textId="77777777" w:rsidR="00FF0CB1" w:rsidRDefault="00DB0B75">
            <w:pPr>
              <w:keepNext/>
              <w:spacing w:line="220" w:lineRule="auto"/>
              <w:jc w:val="center"/>
              <w:rPr/>
            </w:pPr>
            <w:r>
              <w:rPr>
                <w:sz w:val="18"/>
              </w:rPr>
              <w:t xml:space="preserve">−2 ± 5</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response cost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w:t>
      </w:r>
    </w:p>
    <w:p w14:paraId="26E4C15C" w14:textId="30C50EEF" w:rsidR="00FF0CB1" w:rsidRDefault="00DB0B75">
      <w:pPr>
        <w:pStyle w:val="Text"/>
        <w:spacing w:line="240" w:lineRule="auto"/>
      </w:pPr>
      <w:r>
        <w:t xml:space="preserve">The gain persists under the tested model errors and operating limits, including ineffective coating, faster-than-planned wind and a different spread model in the world. The gain holds under perturbed rates and directions of spread, under perturbed suppression and coating effects, and under a structurally different spread model in the live world, so it does not rest on the planner sharing the structure of the world; the hazard model itself is assessed against recorded fires in Section V-B. The synthetic worlds are sized to the initial-attack window, the first hours in which the consequential decisions fall; the hindcast fires are larger because the recorded fires are those that grew beyond that window.</w:t>
      </w:r>
    </w:p>
    <w:p w14:paraId="30DAB8EB" w14:textId="2055D6A3"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 CPU harness without model calls.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 CPU harness without model calls.</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Communication delay, partial information between regions and distributed failure are not modeled, so the architecture is evaluated as one process rather than as a distributed deployment. Generated orders, including tactical ignition and aerial coating, are recommendations; their execution follows the safety rules of the operating agency, which lie outside the decision core. Two further limits bound the claims: the effect operators are modelling assumptions, bounded by the coating settings of Table VII rather than calibrated on observed operations; and the hand-written tactics of Table IV were written once and not tuned on forecasts, so their margin measures doctrine as written. The secondary comparisons are reported with unadjusted intervals and the language model is a hosted one, so the attribution among search, grammar and proposer is indicative rather than exact. Future work will calibrate the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[2]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[3]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[4]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[5]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[6]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[7]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[8]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[9]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[10]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[11]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[12]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[13]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[14]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[15]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[16]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[17]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[18]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[19]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[20]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[21]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[22]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[23]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[24]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[25]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[26]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[27]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[28]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[29]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[30]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[31]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[32]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411E4611" w14:textId="77777777">
                <w:trPr>
                  <w:divId w:val="299961452"/>
                  <w:tblCellSpacing w:w="15" w:type="dxa"/>
                </w:trPr>
                <w:tc>
                  <w:tcPr>
                    <w:tcW w:w="50" w:type="pct"/>
                    <w:hideMark/>
                  </w:tcPr>
                  <w:p w14:paraId="78FD9830" w14:textId="77777777" w:rsidR="005401C1" w:rsidRDefault="005401C1">
                    <w:pPr>
                      <w:pStyle w:val="Bibliography"/>
                      <w:rPr>
                        <w:noProof/>
                      </w:rPr>
                    </w:pPr>
                    <w:r>
                      <w:rPr>
                        <w:noProof/>
                      </w:rPr>
                      <w:t xml:space="preserve">[33] </w:t>
                    </w:r>
                  </w:p>
                </w:tc>
                <w:tc>
                  <w:tcPr>
                    <w:tcW w:w="0" w:type="auto"/>
                    <w:hideMark/>
                  </w:tcPr>
                  <w:p w14:paraId="6373F4B4"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 xml:space="preserve">Proc. Int. Conf. Mach. Learn. (ICML)</w:t>
                    </w:r>
                    <w:r>
                      <w:rPr>
                        <w:noProof/>
                      </w:rPr>
                      <w:t xml:space="preserve">, 2024. </w:t>
                    </w:r>
                  </w:p>
                </w:tc>
              </w:tr>
              <w:tr w:rsidR="005401C1" w14:paraId="13E4A100" w14:textId="77777777">
                <w:trPr>
                  <w:divId w:val="299961452"/>
                  <w:tblCellSpacing w:w="15" w:type="dxa"/>
                </w:trPr>
                <w:tc>
                  <w:tcPr>
                    <w:tcW w:w="50" w:type="pct"/>
                    <w:hideMark/>
                  </w:tcPr>
                  <w:p w14:paraId="405339A9" w14:textId="77777777" w:rsidR="005401C1" w:rsidRDefault="005401C1">
                    <w:pPr>
                      <w:pStyle w:val="Bibliography"/>
                      <w:rPr>
                        <w:noProof/>
                      </w:rPr>
                    </w:pPr>
                    <w:r>
                      <w:rPr>
                        <w:noProof/>
                      </w:rPr>
                      <w:t xml:space="preserve">[34] </w:t>
                    </w:r>
                  </w:p>
                </w:tc>
                <w:tc>
                  <w:tcPr>
                    <w:tcW w:w="0" w:type="auto"/>
                    <w:hideMark/>
                  </w:tcPr>
                  <w:p w14:paraId="4CA9E8B4"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 xml:space="preserve">Proc. Int. Conf. Mach. Learn. (ICML)</w:t>
                    </w:r>
                    <w:r>
                      <w:rPr>
                        <w:noProof/>
                      </w:rPr>
                      <w:t xml:space="preserve">, 2024. </w:t>
                    </w:r>
                  </w:p>
                </w:tc>
              </w:tr>
              <w:tr w:rsidR="005401C1" w14:paraId="090D2E3C" w14:textId="77777777">
                <w:trPr>
                  <w:divId w:val="299961452"/>
                  <w:tblCellSpacing w:w="15" w:type="dxa"/>
                </w:trPr>
                <w:tc>
                  <w:tcPr>
                    <w:tcW w:w="50" w:type="pct"/>
                    <w:hideMark/>
                  </w:tcPr>
                  <w:p w14:paraId="7C30F2B6" w14:textId="77777777" w:rsidR="005401C1" w:rsidRDefault="005401C1">
                    <w:pPr>
                      <w:pStyle w:val="Bibliography"/>
                      <w:rPr>
                        <w:noProof/>
                      </w:rPr>
                    </w:pPr>
                    <w:r>
                      <w:rPr>
                        <w:noProof/>
                      </w:rPr>
                      <w:t xml:space="preserve">[35] </w:t>
                    </w:r>
                  </w:p>
                </w:tc>
                <w:tc>
                  <w:tcPr>
                    <w:tcW w:w="0" w:type="auto"/>
                    <w:hideMark/>
                  </w:tcPr>
                  <w:p w14:paraId="439AE751"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55A0DD2F" w14:textId="77777777">
                <w:trPr>
                  <w:divId w:val="299961452"/>
                  <w:tblCellSpacing w:w="15" w:type="dxa"/>
                </w:trPr>
                <w:tc>
                  <w:tcPr>
                    <w:tcW w:w="50" w:type="pct"/>
                    <w:hideMark/>
                  </w:tcPr>
                  <w:p w14:paraId="2AE00D3B" w14:textId="77777777" w:rsidR="005401C1" w:rsidRDefault="005401C1">
                    <w:pPr>
                      <w:pStyle w:val="Bibliography"/>
                      <w:rPr>
                        <w:noProof/>
                      </w:rPr>
                    </w:pPr>
                    <w:r>
                      <w:rPr>
                        <w:noProof/>
                      </w:rPr>
                      <w:t xml:space="preserve">[36] </w:t>
                    </w:r>
                  </w:p>
                </w:tc>
                <w:tc>
                  <w:tcPr>
                    <w:tcW w:w="0" w:type="auto"/>
                    <w:hideMark/>
                  </w:tcPr>
                  <w:p w14:paraId="4ED4B820"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 xml:space="preserve">Proc. IEEE/RSJ Int. Conf. Intell. Robots Syst. (IROS)</w:t>
                    </w:r>
                    <w:r>
                      <w:rPr>
                        <w:noProof/>
                      </w:rPr>
                      <w:t xml:space="preserve">, 2018, pp. 1067-1074. </w:t>
                    </w:r>
                  </w:p>
                </w:tc>
              </w:tr>
              <w:tr w:rsidR="005401C1" w14:paraId="0EAE30CC" w14:textId="77777777">
                <w:trPr>
                  <w:divId w:val="299961452"/>
                  <w:tblCellSpacing w:w="15" w:type="dxa"/>
                </w:trPr>
                <w:tc>
                  <w:tcPr>
                    <w:tcW w:w="50" w:type="pct"/>
                    <w:hideMark/>
                  </w:tcPr>
                  <w:p w14:paraId="7D873164" w14:textId="77777777" w:rsidR="005401C1" w:rsidRDefault="005401C1">
                    <w:pPr>
                      <w:pStyle w:val="Bibliography"/>
                      <w:rPr>
                        <w:noProof/>
                      </w:rPr>
                    </w:pPr>
                    <w:r>
                      <w:rPr>
                        <w:noProof/>
                      </w:rPr>
                      <w:t xml:space="preserve">[37] </w:t>
                    </w:r>
                  </w:p>
                </w:tc>
                <w:tc>
                  <w:tcPr>
                    <w:tcW w:w="0" w:type="auto"/>
                    <w:hideMark/>
                  </w:tcPr>
                  <w:p w14:paraId="7B10C6CD"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4442DBF4" w14:textId="77777777">
                <w:trPr>
                  <w:divId w:val="299961452"/>
                  <w:tblCellSpacing w:w="15" w:type="dxa"/>
                </w:trPr>
                <w:tc>
                  <w:tcPr>
                    <w:tcW w:w="50" w:type="pct"/>
                    <w:hideMark/>
                  </w:tcPr>
                  <w:p w14:paraId="21EAB832" w14:textId="77777777" w:rsidR="005401C1" w:rsidRDefault="005401C1">
                    <w:pPr>
                      <w:pStyle w:val="Bibliography"/>
                      <w:rPr>
                        <w:noProof/>
                      </w:rPr>
                    </w:pPr>
                    <w:r>
                      <w:rPr>
                        <w:noProof/>
                      </w:rPr>
                      <w:t xml:space="preserve">[38] </w:t>
                    </w:r>
                  </w:p>
                </w:tc>
                <w:tc>
                  <w:tcPr>
                    <w:tcW w:w="0" w:type="auto"/>
                    <w:hideMark/>
                  </w:tcPr>
                  <w:p w14:paraId="63203F79"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r w:rsidR="005401C1" w14:paraId="2BA1A0EC" w14:textId="77777777">
                <w:trPr>
                  <w:divId w:val="299961452"/>
                  <w:tblCellSpacing w:w="15" w:type="dxa"/>
                </w:trPr>
                <w:tc>
                  <w:tcPr>
                    <w:tcW w:w="50" w:type="pct"/>
                    <w:hideMark/>
                  </w:tcPr>
                  <w:p w14:paraId="6456F8A1" w14:textId="77777777" w:rsidR="005401C1" w:rsidRDefault="005401C1">
                    <w:pPr>
                      <w:pStyle w:val="Bibliography"/>
                      <w:rPr>
                        <w:noProof/>
                      </w:rPr>
                    </w:pPr>
                    <w:r>
                      <w:rPr>
                        <w:noProof/>
                      </w:rPr>
                      <w:t xml:space="preserve">[39] </w:t>
                    </w:r>
                  </w:p>
                </w:tc>
                <w:tc>
                  <w:tcPr>
                    <w:tcW w:w="0" w:type="auto"/>
                    <w:hideMark/>
                  </w:tcPr>
                  <w:p w14:paraId="664098D8" w14:textId="77777777" w:rsidR="005401C1" w:rsidRDefault="005401C1">
                    <w:pPr>
                      <w:pStyle w:val="Bibliography"/>
                      <w:rPr>
                        <w:noProof/>
                      </w:rPr>
                    </w:pPr>
                    <w:r>
                      <w:rPr>
                        <w:noProof/>
                      </w:rPr>
                      <w:t xml:space="preserve">E. J. Belval, Y. Wei and M. Bevers, "A mixed integer program to model spatial wildfire behavior and suppression placement decisions," </w:t>
                    </w:r>
                    <w:r>
                      <w:rPr>
                        <w:i/>
                        <w:iCs/>
                        <w:noProof/>
                      </w:rPr>
                      <w:t xml:space="preserve">Can. J. For. Res., </w:t>
                    </w:r>
                    <w:r>
                      <w:rPr>
                        <w:noProof/>
                      </w:rPr>
                      <w:t xml:space="preserve">vol. 45, pp. 384-393, 2015.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[40]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[41]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[42]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[43]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vol. 5, no. 2, pp. 269-284, 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[44]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[45]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[46]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[47]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[48]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[49]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[50]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[51]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[52]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[53]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[54]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[55]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[56]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5CE76FE4" w14:textId="77777777">
                <w:trPr>
                  <w:divId w:val="299961452"/>
                  <w:tblCellSpacing w:w="15" w:type="dxa"/>
                </w:trPr>
                <w:tc>
                  <w:tcPr>
                    <w:tcW w:w="50" w:type="pct"/>
                    <w:hideMark/>
                  </w:tcPr>
                  <w:p w14:paraId="61650C72" w14:textId="77777777" w:rsidR="005401C1" w:rsidRDefault="005401C1">
                    <w:pPr>
                      <w:pStyle w:val="Bibliography"/>
                      <w:rPr>
                        <w:noProof/>
                      </w:rPr>
                    </w:pPr>
                    <w:r>
                      <w:rPr>
                        <w:noProof/>
                      </w:rPr>
                      <w:t xml:space="preserve">[57] </w:t>
                    </w:r>
                  </w:p>
                </w:tc>
                <w:tc>
                  <w:tcPr>
                    <w:tcW w:w="0" w:type="auto"/>
                    <w:hideMark/>
                  </w:tcPr>
                  <w:p w14:paraId="6057D90B"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His work covers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40</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41</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42</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44</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45</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46</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51</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52</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54</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55</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56</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50</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Volume>5</b:Volume>
    <b:Issue>2</b:Issue>
    <b:Pages>269-284</b:Pages>
    <b:RefOrder>43</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47</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48</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49</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53</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33</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35</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36</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37</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38</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57</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34</b:RefOrder>
  </b:Source>
  <b:Source>
    <b:Tag>Belval15</b:Tag>
    <b:SourceType>JournalArticle</b:SourceType>
    <b:Guid>{E1E93689-2878-4E3F-9E8D-12C253431CB0}</b:Guid>
    <b:Author>
      <b:Author>
        <b:NameList>
          <b:Person>
            <b:Last>Belval</b:Last>
            <b:First>E. J.</b:First>
          </b:Person>
          <b:Person>
            <b:Last>Wei</b:Last>
            <b:First>Y.</b:First>
          </b:Person>
          <b:Person>
            <b:Last>Bevers</b:Last>
            <b:First>M.</b:First>
          </b:Person>
        </b:NameList>
      </b:Author>
    </b:Author>
    <b:Title>A mixed integer program to model spatial wildfire behavior and suppression placement decisions</b:Title>
    <b:JournalName>Can. J. For. Res.</b:JournalName>
    <b:Year>2015</b:Year>
    <b:Volume>45</b:Volume>
    <b:Pages>384-393</b:Pages>
    <b:RefOrder>39</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