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[47], mean Rothermel spread rate divided by 30 m/min [6] and fire-weather inputs [48]; weather severity clips 0.45 min(wind/20, 1) + 0.35(1 − humidity/100) + 0.20 clip((temperature − 15)/25). Ignition proximity is one inside a burning region, zero without fire, and otherwise clipped 1 − distance/(half-map diagonal); fuel load averages remaining fuel [44]. Asset exposure is maximum priority, weighting buildings, critical facilities, min–max population and inverted min–max route distance by 0.20, 0.40, 0.25 and 0.15 [4], and accessibility is mean terrain access [49]. Road coverage is divided by 0.05, and staged capacity times availability by 0.05 times maximum capacity times regional cell count [45],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S3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