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Release Management – 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Once the PM creates the REL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QA Dashboard should be added to the REL item in the description area, below the Scope –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2853156" cy="30253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6" cy="302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– Click on the “Release Sign-Off – QA” –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883680" cy="28962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680" cy="2896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– Assign the QA Checklist to the relevant person – Manager/Leader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6323210" cy="18719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210" cy="187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Liat Gibli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