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5EF7"/>
          <w:sz w:val="30"/>
        </w:rPr>
        <w:t>SWAT</w:t>
      </w:r>
      <w:r>
        <w:rPr>
          <w:b/>
          <w:color w:val="25D0C8"/>
          <w:sz w:val="30"/>
        </w:rPr>
        <w:t xml:space="preserve">  STOCKSHIELD</w:t>
      </w:r>
    </w:p>
    <w:p>
      <w:r>
        <w:br/>
      </w:r>
    </w:p>
    <w:p>
      <w:pPr>
        <w:jc w:val="center"/>
      </w:pPr>
      <w:r>
        <w:rPr>
          <w:rFonts w:ascii="Aptos Display" w:hAnsi="Aptos Display"/>
          <w:b/>
          <w:color w:val="0B1020"/>
          <w:sz w:val="60"/>
        </w:rPr>
        <w:t>StockShield</w:t>
      </w:r>
    </w:p>
    <w:p>
      <w:pPr>
        <w:jc w:val="center"/>
      </w:pPr>
      <w:r>
        <w:rPr>
          <w:b/>
          <w:color w:val="6D5EF7"/>
          <w:sz w:val="28"/>
        </w:rPr>
        <w:t>Especificación Completa del Sistema</w:t>
      </w:r>
    </w:p>
    <w:p>
      <w:pPr>
        <w:jc w:val="center"/>
      </w:pPr>
      <w:r>
        <w:rPr>
          <w:i/>
          <w:color w:val="5B6475"/>
          <w:sz w:val="26"/>
        </w:rPr>
        <w:t>La capa de seguridad, integridad de precio y ejecución para activos tokenizados sobre Solana.</w:t>
      </w:r>
    </w:p>
    <w:p>
      <w:r>
        <w:br/>
      </w:r>
    </w:p>
    <w:tbl>
      <w:tblPr>
        <w:tblW w:type="auto" w:w="0"/>
        <w:jc w:val="center"/>
        <w:tblLook w:firstColumn="1" w:firstRow="1" w:lastColumn="0" w:lastRow="0" w:noHBand="0" w:noVBand="1" w:val="04A0"/>
      </w:tblPr>
      <w:tblGrid>
        <w:gridCol w:w="3389"/>
        <w:gridCol w:w="3389"/>
        <w:gridCol w:w="3389"/>
      </w:tblGrid>
      <w:tr>
        <w:tc>
          <w:tcPr>
            <w:tcW w:type="dxa" w:w="3389"/>
            <w:shd w:fill="F3F5FA"/>
            <w:tcMar>
              <w:top w:w="150" w:type="dxa"/>
              <w:start w:w="150" w:type="dxa"/>
              <w:bottom w:w="150" w:type="dxa"/>
              <w:end w:w="150" w:type="dxa"/>
            </w:tcMar>
          </w:tcPr>
          <w:p>
            <w:pPr>
              <w:jc w:val="center"/>
            </w:pPr>
            <w:r>
              <w:rPr>
                <w:b/>
                <w:sz w:val="19"/>
              </w:rPr>
              <w:t>Version</w:t>
              <w:br/>
              <w:t>1.0 — Stocklana 2026</w:t>
            </w:r>
          </w:p>
        </w:tc>
        <w:tc>
          <w:tcPr>
            <w:tcW w:type="dxa" w:w="3389"/>
            <w:shd w:fill="F3F5FA"/>
            <w:tcMar>
              <w:top w:w="150" w:type="dxa"/>
              <w:start w:w="150" w:type="dxa"/>
              <w:bottom w:w="150" w:type="dxa"/>
              <w:end w:w="150" w:type="dxa"/>
            </w:tcMar>
          </w:tcPr>
          <w:p>
            <w:pPr>
              <w:jc w:val="center"/>
            </w:pPr>
            <w:r>
              <w:rPr>
                <w:b/>
                <w:sz w:val="19"/>
              </w:rPr>
              <w:t>Scope</w:t>
              <w:br/>
              <w:t>Producto Completo</w:t>
            </w:r>
          </w:p>
        </w:tc>
        <w:tc>
          <w:tcPr>
            <w:tcW w:type="dxa" w:w="3389"/>
            <w:shd w:fill="F3F5FA"/>
            <w:tcMar>
              <w:top w:w="150" w:type="dxa"/>
              <w:start w:w="150" w:type="dxa"/>
              <w:bottom w:w="150" w:type="dxa"/>
              <w:end w:w="150" w:type="dxa"/>
            </w:tcMar>
          </w:tcPr>
          <w:p>
            <w:pPr>
              <w:jc w:val="center"/>
            </w:pPr>
            <w:r>
              <w:rPr>
                <w:b/>
                <w:sz w:val="19"/>
              </w:rPr>
              <w:t>Status</w:t>
              <w:br/>
              <w:t>Consolidado</w:t>
            </w:r>
          </w:p>
        </w:tc>
      </w:tr>
    </w:tbl>
    <w:p>
      <w:r>
        <w:br/>
        <w:br/>
      </w:r>
    </w:p>
    <w:p>
      <w:pPr>
        <w:jc w:val="center"/>
      </w:pPr>
      <w:r>
        <w:rPr>
          <w:i/>
          <w:color w:val="5B6475"/>
          <w:sz w:val="17"/>
        </w:rPr>
        <w:t>Documento de producto en estado consolidado. Describe StockShield como plataforma completa para presentación, integración y evaluación técnica; no sustituye una auditoría independiente ni una certificación de despliegue productivo.</w:t>
      </w:r>
    </w:p>
    <w:p>
      <w:r>
        <w:br w:type="page"/>
      </w:r>
    </w:p>
    <w:p>
      <w:pPr>
        <w:pStyle w:val="Heading1"/>
      </w:pPr>
      <w:r>
        <w:t>1. Resumen ejecutivo</w:t>
      </w:r>
    </w:p>
    <w:p>
      <w:r>
        <w:t>StockShield es una plataforma de inteligencia pre-trade y control de ejecución diseñada para mercados de acciones y activos tokenizados sobre Solana. Su función central es reducir la incertidumbre antes de que una wallet, un trader, un broker, un DEX o una mesa institucional firme una operación.</w:t>
      </w:r>
    </w:p>
    <w:p>
      <w:r>
        <w:t>El sistema unifica datos de mercado, oráculos, liquidez, procedencia de wallets, amenazas on-chain, integridad contractual y comportamiento del pool para producir una decisión operacional explicable: ALLOW, WARN o BLOCK. La decisión puede consumirse por interfaz, API o middleware de ejecución y queda anclada en Solana como evidencia verificable.</w:t>
      </w:r>
    </w:p>
    <w:p>
      <w:pPr>
        <w:pStyle w:val="ListBullet"/>
      </w:pPr>
      <w:r>
        <w:t>Detecta divergencias entre el precio de referencia y la representación tokenizada.</w:t>
      </w:r>
    </w:p>
    <w:p>
      <w:pPr>
        <w:pStyle w:val="ListBullet"/>
      </w:pPr>
      <w:r>
        <w:t>Valida frescura, confianza y sesión de mercado del oráculo.</w:t>
      </w:r>
    </w:p>
    <w:p>
      <w:pPr>
        <w:pStyle w:val="ListBullet"/>
      </w:pPr>
      <w:r>
        <w:t>Evalúa profundidad, slippage, concentración de liquidez y condiciones anómalas del pool.</w:t>
      </w:r>
    </w:p>
    <w:p>
      <w:pPr>
        <w:pStyle w:val="ListBullet"/>
      </w:pPr>
      <w:r>
        <w:t>Integra inteligencia SWAT para wallets, contratos, trazabilidad, exposición contaminada y amenazas.</w:t>
      </w:r>
    </w:p>
    <w:p>
      <w:pPr>
        <w:pStyle w:val="ListBullet"/>
      </w:pPr>
      <w:r>
        <w:t>Aplica políticas automáticas de ejecución antes de la firma de la transacción.</w:t>
      </w:r>
    </w:p>
    <w:p>
      <w:pPr>
        <w:pStyle w:val="ListBullet"/>
      </w:pPr>
      <w:r>
        <w:t>Ajusta parámetros de liquidez mediante un controlador Risk-Adaptive DBC sobre Meteora.</w:t>
      </w:r>
    </w:p>
    <w:p>
      <w:pPr>
        <w:pStyle w:val="ListBullet"/>
      </w:pPr>
      <w:r>
        <w:t>Registra la evidencia de riesgo y la decisión en Solana para trazabilidad y auditoría.</w:t>
      </w:r>
    </w:p>
    <w:p>
      <w:pPr>
        <w:pStyle w:val="ListBullet"/>
      </w:pPr>
      <w:r>
        <w:t>Expone un modo ATTACK para demostrar de forma controlada cómo el sistema reacciona ante manipulación, divergencia y riesgo de wallets.</w:t>
      </w:r>
    </w:p>
    <w:p>
      <w:pPr>
        <w:pStyle w:val="Heading1"/>
      </w:pPr>
      <w:r>
        <w:t>2. Problema que resuelve</w:t>
      </w:r>
    </w:p>
    <w:p>
      <w:r>
        <w:t>La tokenización simplifica el acceso a mercados, pero añade nuevas superficies de confianza. El usuario ya no depende únicamente de un broker y una bolsa; depende también del token, su emisor o SPV, la custodia del subyacente, el oráculo, el pool de liquidez, los market makers, los smart contracts, las wallets relacionadas y la ruta de ejecución.</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0B1020"/>
            <w:vAlign w:val="center"/>
          </w:tcPr>
          <w:p>
            <w:r>
              <w:rPr>
                <w:b/>
                <w:color w:val="FFFFFF"/>
                <w:sz w:val="19"/>
              </w:rPr>
              <w:t>Superficie</w:t>
            </w:r>
          </w:p>
        </w:tc>
        <w:tc>
          <w:tcPr>
            <w:tcW w:type="dxa" w:w="3389"/>
            <w:shd w:fill="0B1020"/>
            <w:vAlign w:val="center"/>
          </w:tcPr>
          <w:p>
            <w:r>
              <w:rPr>
                <w:b/>
                <w:color w:val="FFFFFF"/>
                <w:sz w:val="19"/>
              </w:rPr>
              <w:t>Riesgo</w:t>
            </w:r>
          </w:p>
        </w:tc>
        <w:tc>
          <w:tcPr>
            <w:tcW w:type="dxa" w:w="3389"/>
            <w:shd w:fill="0B1020"/>
            <w:vAlign w:val="center"/>
          </w:tcPr>
          <w:p>
            <w:r>
              <w:rPr>
                <w:b/>
                <w:color w:val="FFFFFF"/>
                <w:sz w:val="19"/>
              </w:rPr>
              <w:t>Control StockShield</w:t>
            </w:r>
          </w:p>
        </w:tc>
      </w:tr>
      <w:tr>
        <w:tc>
          <w:tcPr>
            <w:tcW w:type="dxa" w:w="3389"/>
            <w:vAlign w:val="top"/>
            <w:tcMar>
              <w:top w:w="80" w:type="dxa"/>
              <w:start w:w="90" w:type="dxa"/>
              <w:bottom w:w="80" w:type="dxa"/>
              <w:end w:w="90" w:type="dxa"/>
            </w:tcMar>
          </w:tcPr>
          <w:p>
            <w:r>
              <w:rPr>
                <w:color w:val="111827"/>
                <w:sz w:val="18"/>
              </w:rPr>
              <w:t>Representación tokenizada</w:t>
            </w:r>
          </w:p>
        </w:tc>
        <w:tc>
          <w:tcPr>
            <w:tcW w:type="dxa" w:w="3389"/>
            <w:vAlign w:val="top"/>
            <w:tcMar>
              <w:top w:w="80" w:type="dxa"/>
              <w:start w:w="90" w:type="dxa"/>
              <w:bottom w:w="80" w:type="dxa"/>
              <w:end w:w="90" w:type="dxa"/>
            </w:tcMar>
          </w:tcPr>
          <w:p>
            <w:r>
              <w:rPr>
                <w:color w:val="111827"/>
                <w:sz w:val="18"/>
              </w:rPr>
              <w:t>Desacople respecto al activo de referencia</w:t>
            </w:r>
          </w:p>
        </w:tc>
        <w:tc>
          <w:tcPr>
            <w:tcW w:type="dxa" w:w="3389"/>
            <w:vAlign w:val="top"/>
            <w:tcMar>
              <w:top w:w="80" w:type="dxa"/>
              <w:start w:w="90" w:type="dxa"/>
              <w:bottom w:w="80" w:type="dxa"/>
              <w:end w:w="90" w:type="dxa"/>
            </w:tcMar>
          </w:tcPr>
          <w:p>
            <w:r>
              <w:rPr>
                <w:color w:val="111827"/>
                <w:sz w:val="18"/>
              </w:rPr>
              <w:t>Price Integrity Engine + Pyth</w:t>
            </w:r>
          </w:p>
        </w:tc>
      </w:tr>
      <w:tr>
        <w:tc>
          <w:tcPr>
            <w:tcW w:type="dxa" w:w="3389"/>
            <w:vAlign w:val="top"/>
            <w:tcMar>
              <w:top w:w="80" w:type="dxa"/>
              <w:start w:w="90" w:type="dxa"/>
              <w:bottom w:w="80" w:type="dxa"/>
              <w:end w:w="90" w:type="dxa"/>
            </w:tcMar>
          </w:tcPr>
          <w:p>
            <w:r>
              <w:rPr>
                <w:color w:val="111827"/>
                <w:sz w:val="18"/>
              </w:rPr>
              <w:t>Oráculo</w:t>
            </w:r>
          </w:p>
        </w:tc>
        <w:tc>
          <w:tcPr>
            <w:tcW w:type="dxa" w:w="3389"/>
            <w:vAlign w:val="top"/>
            <w:tcMar>
              <w:top w:w="80" w:type="dxa"/>
              <w:start w:w="90" w:type="dxa"/>
              <w:bottom w:w="80" w:type="dxa"/>
              <w:end w:w="90" w:type="dxa"/>
            </w:tcMar>
          </w:tcPr>
          <w:p>
            <w:r>
              <w:rPr>
                <w:color w:val="111827"/>
                <w:sz w:val="18"/>
              </w:rPr>
              <w:t>Dato obsoleto, baja confianza o sesión incorrecta</w:t>
            </w:r>
          </w:p>
        </w:tc>
        <w:tc>
          <w:tcPr>
            <w:tcW w:type="dxa" w:w="3389"/>
            <w:vAlign w:val="top"/>
            <w:tcMar>
              <w:top w:w="80" w:type="dxa"/>
              <w:start w:w="90" w:type="dxa"/>
              <w:bottom w:w="80" w:type="dxa"/>
              <w:end w:w="90" w:type="dxa"/>
            </w:tcMar>
          </w:tcPr>
          <w:p>
            <w:r>
              <w:rPr>
                <w:color w:val="111827"/>
                <w:sz w:val="18"/>
              </w:rPr>
              <w:t>Oracle Health Gate</w:t>
            </w:r>
          </w:p>
        </w:tc>
      </w:tr>
      <w:tr>
        <w:tc>
          <w:tcPr>
            <w:tcW w:type="dxa" w:w="3389"/>
            <w:vAlign w:val="top"/>
            <w:tcMar>
              <w:top w:w="80" w:type="dxa"/>
              <w:start w:w="90" w:type="dxa"/>
              <w:bottom w:w="80" w:type="dxa"/>
              <w:end w:w="90" w:type="dxa"/>
            </w:tcMar>
          </w:tcPr>
          <w:p>
            <w:r>
              <w:rPr>
                <w:color w:val="111827"/>
                <w:sz w:val="18"/>
              </w:rPr>
              <w:t>Liquidez</w:t>
            </w:r>
          </w:p>
        </w:tc>
        <w:tc>
          <w:tcPr>
            <w:tcW w:type="dxa" w:w="3389"/>
            <w:vAlign w:val="top"/>
            <w:tcMar>
              <w:top w:w="80" w:type="dxa"/>
              <w:start w:w="90" w:type="dxa"/>
              <w:bottom w:w="80" w:type="dxa"/>
              <w:end w:w="90" w:type="dxa"/>
            </w:tcMar>
          </w:tcPr>
          <w:p>
            <w:r>
              <w:rPr>
                <w:color w:val="111827"/>
                <w:sz w:val="18"/>
              </w:rPr>
              <w:t>Slippage extremo, concentración o manipulación</w:t>
            </w:r>
          </w:p>
        </w:tc>
        <w:tc>
          <w:tcPr>
            <w:tcW w:type="dxa" w:w="3389"/>
            <w:vAlign w:val="top"/>
            <w:tcMar>
              <w:top w:w="80" w:type="dxa"/>
              <w:start w:w="90" w:type="dxa"/>
              <w:bottom w:w="80" w:type="dxa"/>
              <w:end w:w="90" w:type="dxa"/>
            </w:tcMar>
          </w:tcPr>
          <w:p>
            <w:r>
              <w:rPr>
                <w:color w:val="111827"/>
                <w:sz w:val="18"/>
              </w:rPr>
              <w:t>Liquidity &amp; Pool Intelligence</w:t>
            </w:r>
          </w:p>
        </w:tc>
      </w:tr>
      <w:tr>
        <w:tc>
          <w:tcPr>
            <w:tcW w:type="dxa" w:w="3389"/>
            <w:vAlign w:val="top"/>
            <w:tcMar>
              <w:top w:w="80" w:type="dxa"/>
              <w:start w:w="90" w:type="dxa"/>
              <w:bottom w:w="80" w:type="dxa"/>
              <w:end w:w="90" w:type="dxa"/>
            </w:tcMar>
          </w:tcPr>
          <w:p>
            <w:r>
              <w:rPr>
                <w:color w:val="111827"/>
                <w:sz w:val="18"/>
              </w:rPr>
              <w:t>Wallets</w:t>
            </w:r>
          </w:p>
        </w:tc>
        <w:tc>
          <w:tcPr>
            <w:tcW w:type="dxa" w:w="3389"/>
            <w:vAlign w:val="top"/>
            <w:tcMar>
              <w:top w:w="80" w:type="dxa"/>
              <w:start w:w="90" w:type="dxa"/>
              <w:bottom w:w="80" w:type="dxa"/>
              <w:end w:w="90" w:type="dxa"/>
            </w:tcMar>
          </w:tcPr>
          <w:p>
            <w:r>
              <w:rPr>
                <w:color w:val="111827"/>
                <w:sz w:val="18"/>
              </w:rPr>
              <w:t>Exposición a fondos contaminados o actores sospechosos</w:t>
            </w:r>
          </w:p>
        </w:tc>
        <w:tc>
          <w:tcPr>
            <w:tcW w:type="dxa" w:w="3389"/>
            <w:vAlign w:val="top"/>
            <w:tcMar>
              <w:top w:w="80" w:type="dxa"/>
              <w:start w:w="90" w:type="dxa"/>
              <w:bottom w:w="80" w:type="dxa"/>
              <w:end w:w="90" w:type="dxa"/>
            </w:tcMar>
          </w:tcPr>
          <w:p>
            <w:r>
              <w:rPr>
                <w:color w:val="111827"/>
                <w:sz w:val="18"/>
              </w:rPr>
              <w:t>SWAT Wallet Provenance</w:t>
            </w:r>
          </w:p>
        </w:tc>
      </w:tr>
      <w:tr>
        <w:tc>
          <w:tcPr>
            <w:tcW w:type="dxa" w:w="3389"/>
            <w:vAlign w:val="top"/>
            <w:tcMar>
              <w:top w:w="80" w:type="dxa"/>
              <w:start w:w="90" w:type="dxa"/>
              <w:bottom w:w="80" w:type="dxa"/>
              <w:end w:w="90" w:type="dxa"/>
            </w:tcMar>
          </w:tcPr>
          <w:p>
            <w:r>
              <w:rPr>
                <w:color w:val="111827"/>
                <w:sz w:val="18"/>
              </w:rPr>
              <w:t>Smart contracts</w:t>
            </w:r>
          </w:p>
        </w:tc>
        <w:tc>
          <w:tcPr>
            <w:tcW w:type="dxa" w:w="3389"/>
            <w:vAlign w:val="top"/>
            <w:tcMar>
              <w:top w:w="80" w:type="dxa"/>
              <w:start w:w="90" w:type="dxa"/>
              <w:bottom w:w="80" w:type="dxa"/>
              <w:end w:w="90" w:type="dxa"/>
            </w:tcMar>
          </w:tcPr>
          <w:p>
            <w:r>
              <w:rPr>
                <w:color w:val="111827"/>
                <w:sz w:val="18"/>
              </w:rPr>
              <w:t>Riesgo contractual o comportamiento inesperado</w:t>
            </w:r>
          </w:p>
        </w:tc>
        <w:tc>
          <w:tcPr>
            <w:tcW w:type="dxa" w:w="3389"/>
            <w:vAlign w:val="top"/>
            <w:tcMar>
              <w:top w:w="80" w:type="dxa"/>
              <w:start w:w="90" w:type="dxa"/>
              <w:bottom w:w="80" w:type="dxa"/>
              <w:end w:w="90" w:type="dxa"/>
            </w:tcMar>
          </w:tcPr>
          <w:p>
            <w:r>
              <w:rPr>
                <w:color w:val="111827"/>
                <w:sz w:val="18"/>
              </w:rPr>
              <w:t>SWAT Contract Intelligence</w:t>
            </w:r>
          </w:p>
        </w:tc>
      </w:tr>
      <w:tr>
        <w:tc>
          <w:tcPr>
            <w:tcW w:type="dxa" w:w="3389"/>
            <w:vAlign w:val="top"/>
            <w:tcMar>
              <w:top w:w="80" w:type="dxa"/>
              <w:start w:w="90" w:type="dxa"/>
              <w:bottom w:w="80" w:type="dxa"/>
              <w:end w:w="90" w:type="dxa"/>
            </w:tcMar>
          </w:tcPr>
          <w:p>
            <w:r>
              <w:rPr>
                <w:color w:val="111827"/>
                <w:sz w:val="18"/>
              </w:rPr>
              <w:t>Ruta de ejecución</w:t>
            </w:r>
          </w:p>
        </w:tc>
        <w:tc>
          <w:tcPr>
            <w:tcW w:type="dxa" w:w="3389"/>
            <w:vAlign w:val="top"/>
            <w:tcMar>
              <w:top w:w="80" w:type="dxa"/>
              <w:start w:w="90" w:type="dxa"/>
              <w:bottom w:w="80" w:type="dxa"/>
              <w:end w:w="90" w:type="dxa"/>
            </w:tcMar>
          </w:tcPr>
          <w:p>
            <w:r>
              <w:rPr>
                <w:color w:val="111827"/>
                <w:sz w:val="18"/>
              </w:rPr>
              <w:t>MEV, sandwich, precio adverso</w:t>
            </w:r>
          </w:p>
        </w:tc>
        <w:tc>
          <w:tcPr>
            <w:tcW w:type="dxa" w:w="3389"/>
            <w:vAlign w:val="top"/>
            <w:tcMar>
              <w:top w:w="80" w:type="dxa"/>
              <w:start w:w="90" w:type="dxa"/>
              <w:bottom w:w="80" w:type="dxa"/>
              <w:end w:w="90" w:type="dxa"/>
            </w:tcMar>
          </w:tcPr>
          <w:p>
            <w:r>
              <w:rPr>
                <w:color w:val="111827"/>
                <w:sz w:val="18"/>
              </w:rPr>
              <w:t>Execution Safety Engine</w:t>
            </w:r>
          </w:p>
        </w:tc>
      </w:tr>
      <w:tr>
        <w:tc>
          <w:tcPr>
            <w:tcW w:type="dxa" w:w="3389"/>
            <w:vAlign w:val="top"/>
            <w:tcMar>
              <w:top w:w="80" w:type="dxa"/>
              <w:start w:w="90" w:type="dxa"/>
              <w:bottom w:w="80" w:type="dxa"/>
              <w:end w:w="90" w:type="dxa"/>
            </w:tcMar>
          </w:tcPr>
          <w:p>
            <w:r>
              <w:rPr>
                <w:color w:val="111827"/>
                <w:sz w:val="18"/>
              </w:rPr>
              <w:t>Mercado dinámico</w:t>
            </w:r>
          </w:p>
        </w:tc>
        <w:tc>
          <w:tcPr>
            <w:tcW w:type="dxa" w:w="3389"/>
            <w:vAlign w:val="top"/>
            <w:tcMar>
              <w:top w:w="80" w:type="dxa"/>
              <w:start w:w="90" w:type="dxa"/>
              <w:bottom w:w="80" w:type="dxa"/>
              <w:end w:w="90" w:type="dxa"/>
            </w:tcMar>
          </w:tcPr>
          <w:p>
            <w:r>
              <w:rPr>
                <w:color w:val="111827"/>
                <w:sz w:val="18"/>
              </w:rPr>
              <w:t>Fees o curvas inadecuadas para el riesgo</w:t>
            </w:r>
          </w:p>
        </w:tc>
        <w:tc>
          <w:tcPr>
            <w:tcW w:type="dxa" w:w="3389"/>
            <w:vAlign w:val="top"/>
            <w:tcMar>
              <w:top w:w="80" w:type="dxa"/>
              <w:start w:w="90" w:type="dxa"/>
              <w:bottom w:w="80" w:type="dxa"/>
              <w:end w:w="90" w:type="dxa"/>
            </w:tcMar>
          </w:tcPr>
          <w:p>
            <w:r>
              <w:rPr>
                <w:color w:val="111827"/>
                <w:sz w:val="18"/>
              </w:rPr>
              <w:t>Risk-Adaptive Meteora DBC</w:t>
            </w:r>
          </w:p>
        </w:tc>
      </w:tr>
    </w:tbl>
    <w:p/>
    <w:p>
      <w:pPr>
        <w:pStyle w:val="Heading1"/>
      </w:pPr>
      <w:r>
        <w:t>3. Propuesta de valor</w:t>
      </w:r>
    </w:p>
    <w:p>
      <w:r>
        <w:t>StockShield no es otro dashboard de acciones tokenizadas. Es una capa de decisión que se sitúa inmediatamente antes de la firma y convierte señales técnicas complejas en una política ejecutable. Su valor está en decidir cuándo una operación puede continuar, cuándo requiere advertencia y cuándo debe ser bloqueada.</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0B1020"/>
            <w:vAlign w:val="center"/>
          </w:tcPr>
          <w:p>
            <w:r>
              <w:rPr>
                <w:b/>
                <w:color w:val="FFFFFF"/>
                <w:sz w:val="19"/>
              </w:rPr>
              <w:t>Actor</w:t>
            </w:r>
          </w:p>
        </w:tc>
        <w:tc>
          <w:tcPr>
            <w:tcW w:type="dxa" w:w="5083"/>
            <w:shd w:fill="0B1020"/>
            <w:vAlign w:val="center"/>
          </w:tcPr>
          <w:p>
            <w:r>
              <w:rPr>
                <w:b/>
                <w:color w:val="FFFFFF"/>
                <w:sz w:val="19"/>
              </w:rPr>
              <w:t>Valor aportado</w:t>
            </w:r>
          </w:p>
        </w:tc>
      </w:tr>
      <w:tr>
        <w:tc>
          <w:tcPr>
            <w:tcW w:type="dxa" w:w="5083"/>
            <w:vAlign w:val="top"/>
            <w:tcMar>
              <w:top w:w="80" w:type="dxa"/>
              <w:start w:w="90" w:type="dxa"/>
              <w:bottom w:w="80" w:type="dxa"/>
              <w:end w:w="90" w:type="dxa"/>
            </w:tcMar>
          </w:tcPr>
          <w:p>
            <w:r>
              <w:rPr>
                <w:color w:val="111827"/>
                <w:sz w:val="18"/>
              </w:rPr>
              <w:t>Usuario / trader</w:t>
            </w:r>
          </w:p>
        </w:tc>
        <w:tc>
          <w:tcPr>
            <w:tcW w:type="dxa" w:w="5083"/>
            <w:vAlign w:val="top"/>
            <w:tcMar>
              <w:top w:w="80" w:type="dxa"/>
              <w:start w:w="90" w:type="dxa"/>
              <w:bottom w:w="80" w:type="dxa"/>
              <w:end w:w="90" w:type="dxa"/>
            </w:tcMar>
          </w:tcPr>
          <w:p>
            <w:r>
              <w:rPr>
                <w:color w:val="111827"/>
                <w:sz w:val="18"/>
              </w:rPr>
              <w:t>Entiende el riesgo real antes de firmar y evita operar sobre condiciones degradadas.</w:t>
            </w:r>
          </w:p>
        </w:tc>
      </w:tr>
      <w:tr>
        <w:tc>
          <w:tcPr>
            <w:tcW w:type="dxa" w:w="5083"/>
            <w:vAlign w:val="top"/>
            <w:tcMar>
              <w:top w:w="80" w:type="dxa"/>
              <w:start w:w="90" w:type="dxa"/>
              <w:bottom w:w="80" w:type="dxa"/>
              <w:end w:w="90" w:type="dxa"/>
            </w:tcMar>
          </w:tcPr>
          <w:p>
            <w:r>
              <w:rPr>
                <w:color w:val="111827"/>
                <w:sz w:val="18"/>
              </w:rPr>
              <w:t>Wallet</w:t>
            </w:r>
          </w:p>
        </w:tc>
        <w:tc>
          <w:tcPr>
            <w:tcW w:type="dxa" w:w="5083"/>
            <w:vAlign w:val="top"/>
            <w:tcMar>
              <w:top w:w="80" w:type="dxa"/>
              <w:start w:w="90" w:type="dxa"/>
              <w:bottom w:w="80" w:type="dxa"/>
              <w:end w:w="90" w:type="dxa"/>
            </w:tcMar>
          </w:tcPr>
          <w:p>
            <w:r>
              <w:rPr>
                <w:color w:val="111827"/>
                <w:sz w:val="18"/>
              </w:rPr>
              <w:t>Añade un “pre-sign security gate” sin construir internamente un stack forense completo.</w:t>
            </w:r>
          </w:p>
        </w:tc>
      </w:tr>
      <w:tr>
        <w:tc>
          <w:tcPr>
            <w:tcW w:type="dxa" w:w="5083"/>
            <w:vAlign w:val="top"/>
            <w:tcMar>
              <w:top w:w="80" w:type="dxa"/>
              <w:start w:w="90" w:type="dxa"/>
              <w:bottom w:w="80" w:type="dxa"/>
              <w:end w:w="90" w:type="dxa"/>
            </w:tcMar>
          </w:tcPr>
          <w:p>
            <w:r>
              <w:rPr>
                <w:color w:val="111827"/>
                <w:sz w:val="18"/>
              </w:rPr>
              <w:t>DEX / agregador</w:t>
            </w:r>
          </w:p>
        </w:tc>
        <w:tc>
          <w:tcPr>
            <w:tcW w:type="dxa" w:w="5083"/>
            <w:vAlign w:val="top"/>
            <w:tcMar>
              <w:top w:w="80" w:type="dxa"/>
              <w:start w:w="90" w:type="dxa"/>
              <w:bottom w:w="80" w:type="dxa"/>
              <w:end w:w="90" w:type="dxa"/>
            </w:tcMar>
          </w:tcPr>
          <w:p>
            <w:r>
              <w:rPr>
                <w:color w:val="111827"/>
                <w:sz w:val="18"/>
              </w:rPr>
              <w:t>Protege rutas y pools con políticas de riesgo dinámicas.</w:t>
            </w:r>
          </w:p>
        </w:tc>
      </w:tr>
      <w:tr>
        <w:tc>
          <w:tcPr>
            <w:tcW w:type="dxa" w:w="5083"/>
            <w:vAlign w:val="top"/>
            <w:tcMar>
              <w:top w:w="80" w:type="dxa"/>
              <w:start w:w="90" w:type="dxa"/>
              <w:bottom w:w="80" w:type="dxa"/>
              <w:end w:w="90" w:type="dxa"/>
            </w:tcMar>
          </w:tcPr>
          <w:p>
            <w:r>
              <w:rPr>
                <w:color w:val="111827"/>
                <w:sz w:val="18"/>
              </w:rPr>
              <w:t>Broker / fintech</w:t>
            </w:r>
          </w:p>
        </w:tc>
        <w:tc>
          <w:tcPr>
            <w:tcW w:type="dxa" w:w="5083"/>
            <w:vAlign w:val="top"/>
            <w:tcMar>
              <w:top w:w="80" w:type="dxa"/>
              <w:start w:w="90" w:type="dxa"/>
              <w:bottom w:w="80" w:type="dxa"/>
              <w:end w:w="90" w:type="dxa"/>
            </w:tcMar>
          </w:tcPr>
          <w:p>
            <w:r>
              <w:rPr>
                <w:color w:val="111827"/>
                <w:sz w:val="18"/>
              </w:rPr>
              <w:t>Añade control de integridad de mercado y cumplimiento técnico a la experiencia de trading.</w:t>
            </w:r>
          </w:p>
        </w:tc>
      </w:tr>
      <w:tr>
        <w:tc>
          <w:tcPr>
            <w:tcW w:type="dxa" w:w="5083"/>
            <w:vAlign w:val="top"/>
            <w:tcMar>
              <w:top w:w="80" w:type="dxa"/>
              <w:start w:w="90" w:type="dxa"/>
              <w:bottom w:w="80" w:type="dxa"/>
              <w:end w:w="90" w:type="dxa"/>
            </w:tcMar>
          </w:tcPr>
          <w:p>
            <w:r>
              <w:rPr>
                <w:color w:val="111827"/>
                <w:sz w:val="18"/>
              </w:rPr>
              <w:t>Issuer / plataforma RWA</w:t>
            </w:r>
          </w:p>
        </w:tc>
        <w:tc>
          <w:tcPr>
            <w:tcW w:type="dxa" w:w="5083"/>
            <w:vAlign w:val="top"/>
            <w:tcMar>
              <w:top w:w="80" w:type="dxa"/>
              <w:start w:w="90" w:type="dxa"/>
              <w:bottom w:w="80" w:type="dxa"/>
              <w:end w:w="90" w:type="dxa"/>
            </w:tcMar>
          </w:tcPr>
          <w:p>
            <w:r>
              <w:rPr>
                <w:color w:val="111827"/>
                <w:sz w:val="18"/>
              </w:rPr>
              <w:t>Monitoriza la salud de su token, oráculo y liquidez.</w:t>
            </w:r>
          </w:p>
        </w:tc>
      </w:tr>
      <w:tr>
        <w:tc>
          <w:tcPr>
            <w:tcW w:type="dxa" w:w="5083"/>
            <w:vAlign w:val="top"/>
            <w:tcMar>
              <w:top w:w="80" w:type="dxa"/>
              <w:start w:w="90" w:type="dxa"/>
              <w:bottom w:w="80" w:type="dxa"/>
              <w:end w:w="90" w:type="dxa"/>
            </w:tcMar>
          </w:tcPr>
          <w:p>
            <w:r>
              <w:rPr>
                <w:color w:val="111827"/>
                <w:sz w:val="18"/>
              </w:rPr>
              <w:t>Institución</w:t>
            </w:r>
          </w:p>
        </w:tc>
        <w:tc>
          <w:tcPr>
            <w:tcW w:type="dxa" w:w="5083"/>
            <w:vAlign w:val="top"/>
            <w:tcMar>
              <w:top w:w="80" w:type="dxa"/>
              <w:start w:w="90" w:type="dxa"/>
              <w:bottom w:w="80" w:type="dxa"/>
              <w:end w:w="90" w:type="dxa"/>
            </w:tcMar>
          </w:tcPr>
          <w:p>
            <w:r>
              <w:rPr>
                <w:color w:val="111827"/>
                <w:sz w:val="18"/>
              </w:rPr>
              <w:t>Obtiene evidencias reproducibles, trazabilidad on-chain y políticas integrables por API.</w:t>
            </w:r>
          </w:p>
        </w:tc>
      </w:tr>
    </w:tbl>
    <w:p/>
    <w:p>
      <w:pPr>
        <w:pStyle w:val="Heading1"/>
      </w:pPr>
      <w:r>
        <w:t>4. Arquitectura funcional</w:t>
      </w:r>
    </w:p>
    <w:p>
      <w:pPr>
        <w:pStyle w:val="CodeBlock"/>
        <w:shd w:fill="F3F5FA"/>
      </w:pPr>
      <w:r>
        <w:t>USUARIO / WALLET / BROKER / DEX</w:t>
        <w:br/>
        <w:t xml:space="preserve">            │</w:t>
        <w:br/>
        <w:t xml:space="preserve">            ▼</w:t>
        <w:br/>
        <w:t xml:space="preserve">     STOCKSHIELD UI + API</w:t>
        <w:br/>
        <w:t xml:space="preserve">            │</w:t>
        <w:br/>
        <w:t xml:space="preserve">   Pyth • PreStocks • SWAT • Solana</w:t>
        <w:br/>
        <w:t xml:space="preserve">            │</w:t>
        <w:br/>
        <w:t xml:space="preserve">            ▼</w:t>
        <w:br/>
        <w:t xml:space="preserve">      NORMALIZATION LAYER</w:t>
        <w:br/>
        <w:t xml:space="preserve">            │</w:t>
        <w:br/>
        <w:t xml:space="preserve">            ▼</w:t>
        <w:br/>
        <w:t xml:space="preserve">      RISK POLICY ENGINE</w:t>
        <w:br/>
        <w:t xml:space="preserve"> price • oracle • liquidity • wallets • MEV</w:t>
        <w:br/>
        <w:t xml:space="preserve">            │</w:t>
        <w:br/>
        <w:t xml:space="preserve">     ALLOW / WARN / BLOCK</w:t>
        <w:br/>
        <w:t xml:space="preserve">            │</w:t>
        <w:br/>
        <w:t xml:space="preserve">      ┌─────┴─────┐</w:t>
        <w:br/>
        <w:t xml:space="preserve">      ▼           ▼</w:t>
        <w:br/>
        <w:t xml:space="preserve"> Meteora DBC   Solana Proof</w:t>
      </w:r>
    </w:p>
    <w:p>
      <w:r>
        <w:t>La arquitectura separa adquisición de datos, normalización, análisis, política y ejecución. Las claves de Pyth y SWAT permanecen exclusivamente en el servidor; el navegador recibe datos normalizados y decisiones ya calculadas.</w:t>
      </w:r>
    </w:p>
    <w:p>
      <w:pPr>
        <w:pStyle w:val="Heading1"/>
      </w:pPr>
      <w:r>
        <w:t>5. Componentes principales</w:t>
      </w:r>
    </w:p>
    <w:p>
      <w:pPr>
        <w:pStyle w:val="Heading2"/>
      </w:pPr>
      <w:r>
        <w:t>5.1 StockShield UI</w:t>
      </w:r>
    </w:p>
    <w:p>
      <w:r>
        <w:t>Interfaz en Next.js orientada a operación rápida. Presenta activo, precio de referencia, precio tokenizado, premium/discount, profundidad, oráculo, score, radar de riesgo, grafo forense, estado del pool y decisión de ejecución. Integra Phantom y visualiza la firma y la evidencia on-chain.</w:t>
      </w:r>
    </w:p>
    <w:p>
      <w:pPr>
        <w:pStyle w:val="Heading2"/>
      </w:pPr>
      <w:r>
        <w:t>5.2 Asset Intelligence Layer</w:t>
      </w:r>
    </w:p>
    <w:p>
      <w:r>
        <w:t>Resuelve el activo tokenizado, el subyacente, el mint, emisor, SPV/custodia, contratos asociados, venue de liquidez y fuentes de precio. Normaliza símbolos y metadatos para que el motor de riesgo trabaje sobre una identidad única.</w:t>
      </w:r>
    </w:p>
    <w:p>
      <w:pPr>
        <w:pStyle w:val="Heading2"/>
      </w:pPr>
      <w:r>
        <w:t>5.3 Price Integrity Engine</w:t>
      </w:r>
    </w:p>
    <w:p>
      <w:r>
        <w:t>Compara precio de referencia, precio tokenizado y, cuando aplica, múltiples representaciones del mismo subyacente. Calcula divergencia porcentual, premium/discount, estabilidad temporal y tolerancias dependientes de liquidez y sesión de mercado.</w:t>
      </w:r>
    </w:p>
    <w:p>
      <w:pPr>
        <w:pStyle w:val="Heading2"/>
      </w:pPr>
      <w:r>
        <w:t>5.4 Oracle Health Engine</w:t>
      </w:r>
    </w:p>
    <w:p>
      <w:r>
        <w:t>Consume Pyth para evaluar price, bid, ask, confidence, publish time, publisher count, market session y frescura. Un feed obsoleto o con confianza insuficiente degrada o bloquea la operación.</w:t>
      </w:r>
    </w:p>
    <w:p>
      <w:pPr>
        <w:pStyle w:val="Heading2"/>
      </w:pPr>
      <w:r>
        <w:t>5.5 Liquidity &amp; Pool Intelligence</w:t>
      </w:r>
    </w:p>
    <w:p>
      <w:r>
        <w:t>Analiza profundidad efectiva, TVL relevante, concentración de LPs, slippage esperado, impacto de mercado, cambios bruscos, actividad anómala y señales de manipulación. Los resultados alimentan tanto la política de ejecución como Meteora DBC.</w:t>
      </w:r>
    </w:p>
    <w:p>
      <w:pPr>
        <w:pStyle w:val="Heading2"/>
      </w:pPr>
      <w:r>
        <w:t>5.6 SWAT Threat Intelligence</w:t>
      </w:r>
    </w:p>
    <w:p>
      <w:r>
        <w:t>Integra la inteligencia de SWAT para procedencia de wallets, exposición contaminada, grafos de relaciones, contratos, amenazas, patrones MEV/sandwich, anomalías y evidencias forenses. Las señales se convierten en variables normalizadas y explicables.</w:t>
      </w:r>
    </w:p>
    <w:p>
      <w:pPr>
        <w:pStyle w:val="Heading2"/>
      </w:pPr>
      <w:r>
        <w:t>5.7 Execution Safety Engine</w:t>
      </w:r>
    </w:p>
    <w:p>
      <w:r>
        <w:t>Simula la operación antes de firmarla, estima slippage, impacto, divergencia, condiciones MEV y calidad de la ruta. Fusiona estos resultados con el score global para emitir ALLOW, WARN o BLOCK.</w:t>
      </w:r>
    </w:p>
    <w:p>
      <w:pPr>
        <w:pStyle w:val="Heading2"/>
      </w:pPr>
      <w:r>
        <w:t>5.8 Policy Engine</w:t>
      </w:r>
    </w:p>
    <w:p>
      <w:r>
        <w:t>Es el núcleo decisional. Aplica reglas deterministas y ponderaciones por dimensión, conserva la evidencia que originó la decisión y devuelve un resultado reproducible. Las políticas pueden variar por tipo de activo, venue, cliente y nivel institucional.</w:t>
      </w:r>
    </w:p>
    <w:p>
      <w:pPr>
        <w:pStyle w:val="Heading2"/>
      </w:pPr>
      <w:r>
        <w:t>5.9 Risk-Adaptive Meteora DBC Controller</w:t>
      </w:r>
    </w:p>
    <w:p>
      <w:r>
        <w:t>Controla parámetros de Dynamic Bonding Curve según riesgo, volatilidad, integridad de precio, sesión de mercado y liquidez. En condiciones normales usa fees y parámetros estándar; con riesgo elevado adopta configuración defensiva; ante fallo crítico activa el gate de ejecución y alerta operacional.</w:t>
      </w:r>
    </w:p>
    <w:p>
      <w:pPr>
        <w:pStyle w:val="Heading2"/>
      </w:pPr>
      <w:r>
        <w:t>5.10 Solana Risk Attestation</w:t>
      </w:r>
    </w:p>
    <w:p>
      <w:r>
        <w:t>Publica una evidencia compacta de la decisión de riesgo en Solana, vinculando activo, score, decisión, divergencia, timestamp y hash de evidencia. Esto permite demostrar qué conocía el sistema justo antes de la ejecución.</w:t>
      </w:r>
    </w:p>
    <w:p>
      <w:pPr>
        <w:pStyle w:val="Heading2"/>
      </w:pPr>
      <w:r>
        <w:t>5.11 ATTACK MODE</w:t>
      </w:r>
    </w:p>
    <w:p>
      <w:r>
        <w:t>Genera escenarios sintéticos y claramente identificados para demostrar respuesta frente a divergencia extrema, riesgo de wallets, degradación de oráculo, concentración de liquidez o combinación de señales. El motor debe reaccionar igual que ante un incidente real: recalcular y modificar la política.</w:t>
      </w:r>
    </w:p>
    <w:p>
      <w:pPr>
        <w:pStyle w:val="Heading1"/>
      </w:pPr>
      <w:r>
        <w:t>6. Integraciones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0B1020"/>
            <w:vAlign w:val="center"/>
          </w:tcPr>
          <w:p>
            <w:r>
              <w:rPr>
                <w:b/>
                <w:color w:val="FFFFFF"/>
                <w:sz w:val="19"/>
              </w:rPr>
              <w:t>Integración</w:t>
            </w:r>
          </w:p>
        </w:tc>
        <w:tc>
          <w:tcPr>
            <w:tcW w:type="dxa" w:w="3389"/>
            <w:shd w:fill="0B1020"/>
            <w:vAlign w:val="center"/>
          </w:tcPr>
          <w:p>
            <w:r>
              <w:rPr>
                <w:b/>
                <w:color w:val="FFFFFF"/>
                <w:sz w:val="19"/>
              </w:rPr>
              <w:t>Función dentro de StockShield</w:t>
            </w:r>
          </w:p>
        </w:tc>
        <w:tc>
          <w:tcPr>
            <w:tcW w:type="dxa" w:w="3389"/>
            <w:shd w:fill="0B1020"/>
            <w:vAlign w:val="center"/>
          </w:tcPr>
          <w:p>
            <w:r>
              <w:rPr>
                <w:b/>
                <w:color w:val="FFFFFF"/>
                <w:sz w:val="19"/>
              </w:rPr>
              <w:t>Resultado</w:t>
            </w:r>
          </w:p>
        </w:tc>
      </w:tr>
      <w:tr>
        <w:tc>
          <w:tcPr>
            <w:tcW w:type="dxa" w:w="3389"/>
            <w:vAlign w:val="top"/>
            <w:tcMar>
              <w:top w:w="80" w:type="dxa"/>
              <w:start w:w="90" w:type="dxa"/>
              <w:bottom w:w="80" w:type="dxa"/>
              <w:end w:w="90" w:type="dxa"/>
            </w:tcMar>
          </w:tcPr>
          <w:p>
            <w:r>
              <w:rPr>
                <w:color w:val="111827"/>
                <w:sz w:val="18"/>
              </w:rPr>
              <w:t>Pyth</w:t>
            </w:r>
          </w:p>
        </w:tc>
        <w:tc>
          <w:tcPr>
            <w:tcW w:type="dxa" w:w="3389"/>
            <w:vAlign w:val="top"/>
            <w:tcMar>
              <w:top w:w="80" w:type="dxa"/>
              <w:start w:w="90" w:type="dxa"/>
              <w:bottom w:w="80" w:type="dxa"/>
              <w:end w:w="90" w:type="dxa"/>
            </w:tcMar>
          </w:tcPr>
          <w:p>
            <w:r>
              <w:rPr>
                <w:color w:val="111827"/>
                <w:sz w:val="18"/>
              </w:rPr>
              <w:t>Precio del subyacente y del activo tokenizado, bid/ask, confidence, timestamps y market session.</w:t>
            </w:r>
          </w:p>
        </w:tc>
        <w:tc>
          <w:tcPr>
            <w:tcW w:type="dxa" w:w="3389"/>
            <w:vAlign w:val="top"/>
            <w:tcMar>
              <w:top w:w="80" w:type="dxa"/>
              <w:start w:w="90" w:type="dxa"/>
              <w:bottom w:w="80" w:type="dxa"/>
              <w:end w:w="90" w:type="dxa"/>
            </w:tcMar>
          </w:tcPr>
          <w:p>
            <w:r>
              <w:rPr>
                <w:color w:val="111827"/>
                <w:sz w:val="18"/>
              </w:rPr>
              <w:t>Oracle Health + Price Integrity + policy gate.</w:t>
            </w:r>
          </w:p>
        </w:tc>
      </w:tr>
      <w:tr>
        <w:tc>
          <w:tcPr>
            <w:tcW w:type="dxa" w:w="3389"/>
            <w:vAlign w:val="top"/>
            <w:tcMar>
              <w:top w:w="80" w:type="dxa"/>
              <w:start w:w="90" w:type="dxa"/>
              <w:bottom w:w="80" w:type="dxa"/>
              <w:end w:w="90" w:type="dxa"/>
            </w:tcMar>
          </w:tcPr>
          <w:p>
            <w:r>
              <w:rPr>
                <w:color w:val="111827"/>
                <w:sz w:val="18"/>
              </w:rPr>
              <w:t>PreStocks</w:t>
            </w:r>
          </w:p>
        </w:tc>
        <w:tc>
          <w:tcPr>
            <w:tcW w:type="dxa" w:w="3389"/>
            <w:vAlign w:val="top"/>
            <w:tcMar>
              <w:top w:w="80" w:type="dxa"/>
              <w:start w:w="90" w:type="dxa"/>
              <w:bottom w:w="80" w:type="dxa"/>
              <w:end w:w="90" w:type="dxa"/>
            </w:tcMar>
          </w:tcPr>
          <w:p>
            <w:r>
              <w:rPr>
                <w:color w:val="111827"/>
                <w:sz w:val="18"/>
              </w:rPr>
              <w:t>Catálogo de activos pre-IPO tokenizados, precios, contratos, valoración y metadatos.</w:t>
            </w:r>
          </w:p>
        </w:tc>
        <w:tc>
          <w:tcPr>
            <w:tcW w:type="dxa" w:w="3389"/>
            <w:vAlign w:val="top"/>
            <w:tcMar>
              <w:top w:w="80" w:type="dxa"/>
              <w:start w:w="90" w:type="dxa"/>
              <w:bottom w:w="80" w:type="dxa"/>
              <w:end w:w="90" w:type="dxa"/>
            </w:tcMar>
          </w:tcPr>
          <w:p>
            <w:r>
              <w:rPr>
                <w:color w:val="111827"/>
                <w:sz w:val="18"/>
              </w:rPr>
              <w:t>Pre-IPO Intelligence y análisis de premium/discount.</w:t>
            </w:r>
          </w:p>
        </w:tc>
      </w:tr>
      <w:tr>
        <w:tc>
          <w:tcPr>
            <w:tcW w:type="dxa" w:w="3389"/>
            <w:vAlign w:val="top"/>
            <w:tcMar>
              <w:top w:w="80" w:type="dxa"/>
              <w:start w:w="90" w:type="dxa"/>
              <w:bottom w:w="80" w:type="dxa"/>
              <w:end w:w="90" w:type="dxa"/>
            </w:tcMar>
          </w:tcPr>
          <w:p>
            <w:r>
              <w:rPr>
                <w:color w:val="111827"/>
                <w:sz w:val="18"/>
              </w:rPr>
              <w:t>SWAT / NoRug.es</w:t>
            </w:r>
          </w:p>
        </w:tc>
        <w:tc>
          <w:tcPr>
            <w:tcW w:type="dxa" w:w="3389"/>
            <w:vAlign w:val="top"/>
            <w:tcMar>
              <w:top w:w="80" w:type="dxa"/>
              <w:start w:w="90" w:type="dxa"/>
              <w:bottom w:w="80" w:type="dxa"/>
              <w:end w:w="90" w:type="dxa"/>
            </w:tcMar>
          </w:tcPr>
          <w:p>
            <w:r>
              <w:rPr>
                <w:color w:val="111827"/>
                <w:sz w:val="18"/>
              </w:rPr>
              <w:t>Threat intelligence, wallet provenance, contratos, grafos, MEV, pools y evidencias.</w:t>
            </w:r>
          </w:p>
        </w:tc>
        <w:tc>
          <w:tcPr>
            <w:tcW w:type="dxa" w:w="3389"/>
            <w:vAlign w:val="top"/>
            <w:tcMar>
              <w:top w:w="80" w:type="dxa"/>
              <w:start w:w="90" w:type="dxa"/>
              <w:bottom w:w="80" w:type="dxa"/>
              <w:end w:w="90" w:type="dxa"/>
            </w:tcMar>
          </w:tcPr>
          <w:p>
            <w:r>
              <w:rPr>
                <w:color w:val="111827"/>
                <w:sz w:val="18"/>
              </w:rPr>
              <w:t>Wallet Risk, Contract Risk, Threat Score y trazabilidad.</w:t>
            </w:r>
          </w:p>
        </w:tc>
      </w:tr>
      <w:tr>
        <w:tc>
          <w:tcPr>
            <w:tcW w:type="dxa" w:w="3389"/>
            <w:vAlign w:val="top"/>
            <w:tcMar>
              <w:top w:w="80" w:type="dxa"/>
              <w:start w:w="90" w:type="dxa"/>
              <w:bottom w:w="80" w:type="dxa"/>
              <w:end w:w="90" w:type="dxa"/>
            </w:tcMar>
          </w:tcPr>
          <w:p>
            <w:r>
              <w:rPr>
                <w:color w:val="111827"/>
                <w:sz w:val="18"/>
              </w:rPr>
              <w:t>Meteora DBC / DAMM</w:t>
            </w:r>
          </w:p>
        </w:tc>
        <w:tc>
          <w:tcPr>
            <w:tcW w:type="dxa" w:w="3389"/>
            <w:vAlign w:val="top"/>
            <w:tcMar>
              <w:top w:w="80" w:type="dxa"/>
              <w:start w:w="90" w:type="dxa"/>
              <w:bottom w:w="80" w:type="dxa"/>
              <w:end w:w="90" w:type="dxa"/>
            </w:tcMar>
          </w:tcPr>
          <w:p>
            <w:r>
              <w:rPr>
                <w:color w:val="111827"/>
                <w:sz w:val="18"/>
              </w:rPr>
              <w:t>Liquidez y curvas dinámicas adaptables al riesgo.</w:t>
            </w:r>
          </w:p>
        </w:tc>
        <w:tc>
          <w:tcPr>
            <w:tcW w:type="dxa" w:w="3389"/>
            <w:vAlign w:val="top"/>
            <w:tcMar>
              <w:top w:w="80" w:type="dxa"/>
              <w:start w:w="90" w:type="dxa"/>
              <w:bottom w:w="80" w:type="dxa"/>
              <w:end w:w="90" w:type="dxa"/>
            </w:tcMar>
          </w:tcPr>
          <w:p>
            <w:r>
              <w:rPr>
                <w:color w:val="111827"/>
                <w:sz w:val="18"/>
              </w:rPr>
              <w:t>Fees/curve defensivos y graduación controlada.</w:t>
            </w:r>
          </w:p>
        </w:tc>
      </w:tr>
      <w:tr>
        <w:tc>
          <w:tcPr>
            <w:tcW w:type="dxa" w:w="3389"/>
            <w:vAlign w:val="top"/>
            <w:tcMar>
              <w:top w:w="80" w:type="dxa"/>
              <w:start w:w="90" w:type="dxa"/>
              <w:bottom w:w="80" w:type="dxa"/>
              <w:end w:w="90" w:type="dxa"/>
            </w:tcMar>
          </w:tcPr>
          <w:p>
            <w:r>
              <w:rPr>
                <w:color w:val="111827"/>
                <w:sz w:val="18"/>
              </w:rPr>
              <w:t>Solana</w:t>
            </w:r>
          </w:p>
        </w:tc>
        <w:tc>
          <w:tcPr>
            <w:tcW w:type="dxa" w:w="3389"/>
            <w:vAlign w:val="top"/>
            <w:tcMar>
              <w:top w:w="80" w:type="dxa"/>
              <w:start w:w="90" w:type="dxa"/>
              <w:bottom w:w="80" w:type="dxa"/>
              <w:end w:w="90" w:type="dxa"/>
            </w:tcMar>
          </w:tcPr>
          <w:p>
            <w:r>
              <w:rPr>
                <w:color w:val="111827"/>
                <w:sz w:val="18"/>
              </w:rPr>
              <w:t>Activo, ejecución, prueba de decisión y verificabilidad.</w:t>
            </w:r>
          </w:p>
        </w:tc>
        <w:tc>
          <w:tcPr>
            <w:tcW w:type="dxa" w:w="3389"/>
            <w:vAlign w:val="top"/>
            <w:tcMar>
              <w:top w:w="80" w:type="dxa"/>
              <w:start w:w="90" w:type="dxa"/>
              <w:bottom w:w="80" w:type="dxa"/>
              <w:end w:w="90" w:type="dxa"/>
            </w:tcMar>
          </w:tcPr>
          <w:p>
            <w:r>
              <w:rPr>
                <w:color w:val="111827"/>
                <w:sz w:val="18"/>
              </w:rPr>
              <w:t>Attestation on-chain y trazabilidad de transacción.</w:t>
            </w:r>
          </w:p>
        </w:tc>
      </w:tr>
      <w:tr>
        <w:tc>
          <w:tcPr>
            <w:tcW w:type="dxa" w:w="3389"/>
            <w:vAlign w:val="top"/>
            <w:tcMar>
              <w:top w:w="80" w:type="dxa"/>
              <w:start w:w="90" w:type="dxa"/>
              <w:bottom w:w="80" w:type="dxa"/>
              <w:end w:w="90" w:type="dxa"/>
            </w:tcMar>
          </w:tcPr>
          <w:p>
            <w:r>
              <w:rPr>
                <w:color w:val="111827"/>
                <w:sz w:val="18"/>
              </w:rPr>
              <w:t>Phantom</w:t>
            </w:r>
          </w:p>
        </w:tc>
        <w:tc>
          <w:tcPr>
            <w:tcW w:type="dxa" w:w="3389"/>
            <w:vAlign w:val="top"/>
            <w:tcMar>
              <w:top w:w="80" w:type="dxa"/>
              <w:start w:w="90" w:type="dxa"/>
              <w:bottom w:w="80" w:type="dxa"/>
              <w:end w:w="90" w:type="dxa"/>
            </w:tcMar>
          </w:tcPr>
          <w:p>
            <w:r>
              <w:rPr>
                <w:color w:val="111827"/>
                <w:sz w:val="18"/>
              </w:rPr>
              <w:t>Conexión, firma del usuario y envío de transacción.</w:t>
            </w:r>
          </w:p>
        </w:tc>
        <w:tc>
          <w:tcPr>
            <w:tcW w:type="dxa" w:w="3389"/>
            <w:vAlign w:val="top"/>
            <w:tcMar>
              <w:top w:w="80" w:type="dxa"/>
              <w:start w:w="90" w:type="dxa"/>
              <w:bottom w:w="80" w:type="dxa"/>
              <w:end w:w="90" w:type="dxa"/>
            </w:tcMar>
          </w:tcPr>
          <w:p>
            <w:r>
              <w:rPr>
                <w:color w:val="111827"/>
                <w:sz w:val="18"/>
              </w:rPr>
              <w:t>E2E verificable desde interfaz.</w:t>
            </w:r>
          </w:p>
        </w:tc>
      </w:tr>
    </w:tbl>
    <w:p/>
    <w:p>
      <w:pPr>
        <w:pStyle w:val="Heading1"/>
      </w:pPr>
      <w:r>
        <w:t>7. Modelo de riesgo StockShield</w:t>
      </w:r>
    </w:p>
    <w:p>
      <w:r>
        <w:t>El score global se expresa en escala 0–100, donde un valor mayor representa mejores condiciones de integridad y ejecución. El score no se utiliza de forma aislada: reglas críticas pueden imponer un BLOCK aunque la media ponderada sea elevada.</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0B1020"/>
            <w:vAlign w:val="center"/>
          </w:tcPr>
          <w:p>
            <w:r>
              <w:rPr>
                <w:b/>
                <w:color w:val="FFFFFF"/>
                <w:sz w:val="19"/>
              </w:rPr>
              <w:t>Dimensión</w:t>
            </w:r>
          </w:p>
        </w:tc>
        <w:tc>
          <w:tcPr>
            <w:tcW w:type="dxa" w:w="3389"/>
            <w:shd w:fill="0B1020"/>
            <w:vAlign w:val="center"/>
          </w:tcPr>
          <w:p>
            <w:r>
              <w:rPr>
                <w:b/>
                <w:color w:val="FFFFFF"/>
                <w:sz w:val="19"/>
              </w:rPr>
              <w:t>Qué mide</w:t>
            </w:r>
          </w:p>
        </w:tc>
        <w:tc>
          <w:tcPr>
            <w:tcW w:type="dxa" w:w="3389"/>
            <w:shd w:fill="0B1020"/>
            <w:vAlign w:val="center"/>
          </w:tcPr>
          <w:p>
            <w:r>
              <w:rPr>
                <w:b/>
                <w:color w:val="FFFFFF"/>
                <w:sz w:val="19"/>
              </w:rPr>
              <w:t>Ejemplos de evidencia</w:t>
            </w:r>
          </w:p>
        </w:tc>
      </w:tr>
      <w:tr>
        <w:tc>
          <w:tcPr>
            <w:tcW w:type="dxa" w:w="3389"/>
            <w:vAlign w:val="top"/>
            <w:tcMar>
              <w:top w:w="80" w:type="dxa"/>
              <w:start w:w="90" w:type="dxa"/>
              <w:bottom w:w="80" w:type="dxa"/>
              <w:end w:w="90" w:type="dxa"/>
            </w:tcMar>
          </w:tcPr>
          <w:p>
            <w:r>
              <w:rPr>
                <w:color w:val="111827"/>
                <w:sz w:val="18"/>
              </w:rPr>
              <w:t>Price Integrity</w:t>
            </w:r>
          </w:p>
        </w:tc>
        <w:tc>
          <w:tcPr>
            <w:tcW w:type="dxa" w:w="3389"/>
            <w:vAlign w:val="top"/>
            <w:tcMar>
              <w:top w:w="80" w:type="dxa"/>
              <w:start w:w="90" w:type="dxa"/>
              <w:bottom w:w="80" w:type="dxa"/>
              <w:end w:w="90" w:type="dxa"/>
            </w:tcMar>
          </w:tcPr>
          <w:p>
            <w:r>
              <w:rPr>
                <w:color w:val="111827"/>
                <w:sz w:val="18"/>
              </w:rPr>
              <w:t>Coherencia entre referencia y token.</w:t>
            </w:r>
          </w:p>
        </w:tc>
        <w:tc>
          <w:tcPr>
            <w:tcW w:type="dxa" w:w="3389"/>
            <w:vAlign w:val="top"/>
            <w:tcMar>
              <w:top w:w="80" w:type="dxa"/>
              <w:start w:w="90" w:type="dxa"/>
              <w:bottom w:w="80" w:type="dxa"/>
              <w:end w:w="90" w:type="dxa"/>
            </w:tcMar>
          </w:tcPr>
          <w:p>
            <w:r>
              <w:rPr>
                <w:color w:val="111827"/>
                <w:sz w:val="18"/>
              </w:rPr>
              <w:t>Divergencia, premium/discount, persistencia temporal.</w:t>
            </w:r>
          </w:p>
        </w:tc>
      </w:tr>
      <w:tr>
        <w:tc>
          <w:tcPr>
            <w:tcW w:type="dxa" w:w="3389"/>
            <w:vAlign w:val="top"/>
            <w:tcMar>
              <w:top w:w="80" w:type="dxa"/>
              <w:start w:w="90" w:type="dxa"/>
              <w:bottom w:w="80" w:type="dxa"/>
              <w:end w:w="90" w:type="dxa"/>
            </w:tcMar>
          </w:tcPr>
          <w:p>
            <w:r>
              <w:rPr>
                <w:color w:val="111827"/>
                <w:sz w:val="18"/>
              </w:rPr>
              <w:t>Oracle Health</w:t>
            </w:r>
          </w:p>
        </w:tc>
        <w:tc>
          <w:tcPr>
            <w:tcW w:type="dxa" w:w="3389"/>
            <w:vAlign w:val="top"/>
            <w:tcMar>
              <w:top w:w="80" w:type="dxa"/>
              <w:start w:w="90" w:type="dxa"/>
              <w:bottom w:w="80" w:type="dxa"/>
              <w:end w:w="90" w:type="dxa"/>
            </w:tcMar>
          </w:tcPr>
          <w:p>
            <w:r>
              <w:rPr>
                <w:color w:val="111827"/>
                <w:sz w:val="18"/>
              </w:rPr>
              <w:t>Calidad y actualidad del feed.</w:t>
            </w:r>
          </w:p>
        </w:tc>
        <w:tc>
          <w:tcPr>
            <w:tcW w:type="dxa" w:w="3389"/>
            <w:vAlign w:val="top"/>
            <w:tcMar>
              <w:top w:w="80" w:type="dxa"/>
              <w:start w:w="90" w:type="dxa"/>
              <w:bottom w:w="80" w:type="dxa"/>
              <w:end w:w="90" w:type="dxa"/>
            </w:tcMar>
          </w:tcPr>
          <w:p>
            <w:r>
              <w:rPr>
                <w:color w:val="111827"/>
                <w:sz w:val="18"/>
              </w:rPr>
              <w:t>Confidence, timestamp, sesión, publishers.</w:t>
            </w:r>
          </w:p>
        </w:tc>
      </w:tr>
      <w:tr>
        <w:tc>
          <w:tcPr>
            <w:tcW w:type="dxa" w:w="3389"/>
            <w:vAlign w:val="top"/>
            <w:tcMar>
              <w:top w:w="80" w:type="dxa"/>
              <w:start w:w="90" w:type="dxa"/>
              <w:bottom w:w="80" w:type="dxa"/>
              <w:end w:w="90" w:type="dxa"/>
            </w:tcMar>
          </w:tcPr>
          <w:p>
            <w:r>
              <w:rPr>
                <w:color w:val="111827"/>
                <w:sz w:val="18"/>
              </w:rPr>
              <w:t>Liquidity</w:t>
            </w:r>
          </w:p>
        </w:tc>
        <w:tc>
          <w:tcPr>
            <w:tcW w:type="dxa" w:w="3389"/>
            <w:vAlign w:val="top"/>
            <w:tcMar>
              <w:top w:w="80" w:type="dxa"/>
              <w:start w:w="90" w:type="dxa"/>
              <w:bottom w:w="80" w:type="dxa"/>
              <w:end w:w="90" w:type="dxa"/>
            </w:tcMar>
          </w:tcPr>
          <w:p>
            <w:r>
              <w:rPr>
                <w:color w:val="111827"/>
                <w:sz w:val="18"/>
              </w:rPr>
              <w:t>Capacidad real de ejecutar sin impacto anormal.</w:t>
            </w:r>
          </w:p>
        </w:tc>
        <w:tc>
          <w:tcPr>
            <w:tcW w:type="dxa" w:w="3389"/>
            <w:vAlign w:val="top"/>
            <w:tcMar>
              <w:top w:w="80" w:type="dxa"/>
              <w:start w:w="90" w:type="dxa"/>
              <w:bottom w:w="80" w:type="dxa"/>
              <w:end w:w="90" w:type="dxa"/>
            </w:tcMar>
          </w:tcPr>
          <w:p>
            <w:r>
              <w:rPr>
                <w:color w:val="111827"/>
                <w:sz w:val="18"/>
              </w:rPr>
              <w:t>Depth, slippage, concentración, TVL útil.</w:t>
            </w:r>
          </w:p>
        </w:tc>
      </w:tr>
      <w:tr>
        <w:tc>
          <w:tcPr>
            <w:tcW w:type="dxa" w:w="3389"/>
            <w:vAlign w:val="top"/>
            <w:tcMar>
              <w:top w:w="80" w:type="dxa"/>
              <w:start w:w="90" w:type="dxa"/>
              <w:bottom w:w="80" w:type="dxa"/>
              <w:end w:w="90" w:type="dxa"/>
            </w:tcMar>
          </w:tcPr>
          <w:p>
            <w:r>
              <w:rPr>
                <w:color w:val="111827"/>
                <w:sz w:val="18"/>
              </w:rPr>
              <w:t>Wallet Risk</w:t>
            </w:r>
          </w:p>
        </w:tc>
        <w:tc>
          <w:tcPr>
            <w:tcW w:type="dxa" w:w="3389"/>
            <w:vAlign w:val="top"/>
            <w:tcMar>
              <w:top w:w="80" w:type="dxa"/>
              <w:start w:w="90" w:type="dxa"/>
              <w:bottom w:w="80" w:type="dxa"/>
              <w:end w:w="90" w:type="dxa"/>
            </w:tcMar>
          </w:tcPr>
          <w:p>
            <w:r>
              <w:rPr>
                <w:color w:val="111827"/>
                <w:sz w:val="18"/>
              </w:rPr>
              <w:t>Procedencia y exposición de actores relevantes.</w:t>
            </w:r>
          </w:p>
        </w:tc>
        <w:tc>
          <w:tcPr>
            <w:tcW w:type="dxa" w:w="3389"/>
            <w:vAlign w:val="top"/>
            <w:tcMar>
              <w:top w:w="80" w:type="dxa"/>
              <w:start w:w="90" w:type="dxa"/>
              <w:bottom w:w="80" w:type="dxa"/>
              <w:end w:w="90" w:type="dxa"/>
            </w:tcMar>
          </w:tcPr>
          <w:p>
            <w:r>
              <w:rPr>
                <w:color w:val="111827"/>
                <w:sz w:val="18"/>
              </w:rPr>
              <w:t>Contaminación, clústeres, relaciones, risk tags.</w:t>
            </w:r>
          </w:p>
        </w:tc>
      </w:tr>
      <w:tr>
        <w:tc>
          <w:tcPr>
            <w:tcW w:type="dxa" w:w="3389"/>
            <w:vAlign w:val="top"/>
            <w:tcMar>
              <w:top w:w="80" w:type="dxa"/>
              <w:start w:w="90" w:type="dxa"/>
              <w:bottom w:w="80" w:type="dxa"/>
              <w:end w:w="90" w:type="dxa"/>
            </w:tcMar>
          </w:tcPr>
          <w:p>
            <w:r>
              <w:rPr>
                <w:color w:val="111827"/>
                <w:sz w:val="18"/>
              </w:rPr>
              <w:t>Contract Risk</w:t>
            </w:r>
          </w:p>
        </w:tc>
        <w:tc>
          <w:tcPr>
            <w:tcW w:type="dxa" w:w="3389"/>
            <w:vAlign w:val="top"/>
            <w:tcMar>
              <w:top w:w="80" w:type="dxa"/>
              <w:start w:w="90" w:type="dxa"/>
              <w:bottom w:w="80" w:type="dxa"/>
              <w:end w:w="90" w:type="dxa"/>
            </w:tcMar>
          </w:tcPr>
          <w:p>
            <w:r>
              <w:rPr>
                <w:color w:val="111827"/>
                <w:sz w:val="18"/>
              </w:rPr>
              <w:t>Riesgo técnico de contratos y programas.</w:t>
            </w:r>
          </w:p>
        </w:tc>
        <w:tc>
          <w:tcPr>
            <w:tcW w:type="dxa" w:w="3389"/>
            <w:vAlign w:val="top"/>
            <w:tcMar>
              <w:top w:w="80" w:type="dxa"/>
              <w:start w:w="90" w:type="dxa"/>
              <w:bottom w:w="80" w:type="dxa"/>
              <w:end w:w="90" w:type="dxa"/>
            </w:tcMar>
          </w:tcPr>
          <w:p>
            <w:r>
              <w:rPr>
                <w:color w:val="111827"/>
                <w:sz w:val="18"/>
              </w:rPr>
              <w:t>Authorities, comportamiento, anomalías, historial.</w:t>
            </w:r>
          </w:p>
        </w:tc>
      </w:tr>
      <w:tr>
        <w:tc>
          <w:tcPr>
            <w:tcW w:type="dxa" w:w="3389"/>
            <w:vAlign w:val="top"/>
            <w:tcMar>
              <w:top w:w="80" w:type="dxa"/>
              <w:start w:w="90" w:type="dxa"/>
              <w:bottom w:w="80" w:type="dxa"/>
              <w:end w:w="90" w:type="dxa"/>
            </w:tcMar>
          </w:tcPr>
          <w:p>
            <w:r>
              <w:rPr>
                <w:color w:val="111827"/>
                <w:sz w:val="18"/>
              </w:rPr>
              <w:t>Execution Safety</w:t>
            </w:r>
          </w:p>
        </w:tc>
        <w:tc>
          <w:tcPr>
            <w:tcW w:type="dxa" w:w="3389"/>
            <w:vAlign w:val="top"/>
            <w:tcMar>
              <w:top w:w="80" w:type="dxa"/>
              <w:start w:w="90" w:type="dxa"/>
              <w:bottom w:w="80" w:type="dxa"/>
              <w:end w:w="90" w:type="dxa"/>
            </w:tcMar>
          </w:tcPr>
          <w:p>
            <w:r>
              <w:rPr>
                <w:color w:val="111827"/>
                <w:sz w:val="18"/>
              </w:rPr>
              <w:t>Riesgo específico de la operación.</w:t>
            </w:r>
          </w:p>
        </w:tc>
        <w:tc>
          <w:tcPr>
            <w:tcW w:type="dxa" w:w="3389"/>
            <w:vAlign w:val="top"/>
            <w:tcMar>
              <w:top w:w="80" w:type="dxa"/>
              <w:start w:w="90" w:type="dxa"/>
              <w:bottom w:w="80" w:type="dxa"/>
              <w:end w:w="90" w:type="dxa"/>
            </w:tcMar>
          </w:tcPr>
          <w:p>
            <w:r>
              <w:rPr>
                <w:color w:val="111827"/>
                <w:sz w:val="18"/>
              </w:rPr>
              <w:t>MEV, sandwich, impacto, route quality.</w:t>
            </w:r>
          </w:p>
        </w:tc>
      </w:tr>
    </w:tbl>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0B1020"/>
            <w:vAlign w:val="center"/>
          </w:tcPr>
          <w:p>
            <w:r>
              <w:rPr>
                <w:b/>
                <w:color w:val="FFFFFF"/>
                <w:sz w:val="19"/>
              </w:rPr>
              <w:t>Decisión</w:t>
            </w:r>
          </w:p>
        </w:tc>
        <w:tc>
          <w:tcPr>
            <w:tcW w:type="dxa" w:w="3389"/>
            <w:shd w:fill="0B1020"/>
            <w:vAlign w:val="center"/>
          </w:tcPr>
          <w:p>
            <w:r>
              <w:rPr>
                <w:b/>
                <w:color w:val="FFFFFF"/>
                <w:sz w:val="19"/>
              </w:rPr>
              <w:t>Interpretación</w:t>
            </w:r>
          </w:p>
        </w:tc>
        <w:tc>
          <w:tcPr>
            <w:tcW w:type="dxa" w:w="3389"/>
            <w:shd w:fill="0B1020"/>
            <w:vAlign w:val="center"/>
          </w:tcPr>
          <w:p>
            <w:r>
              <w:rPr>
                <w:b/>
                <w:color w:val="FFFFFF"/>
                <w:sz w:val="19"/>
              </w:rPr>
              <w:t>Comportamiento</w:t>
            </w:r>
          </w:p>
        </w:tc>
      </w:tr>
      <w:tr>
        <w:tc>
          <w:tcPr>
            <w:tcW w:type="dxa" w:w="3389"/>
            <w:vAlign w:val="top"/>
            <w:tcMar>
              <w:top w:w="80" w:type="dxa"/>
              <w:start w:w="90" w:type="dxa"/>
              <w:bottom w:w="80" w:type="dxa"/>
              <w:end w:w="90" w:type="dxa"/>
            </w:tcMar>
          </w:tcPr>
          <w:p>
            <w:r>
              <w:rPr>
                <w:color w:val="111827"/>
                <w:sz w:val="18"/>
              </w:rPr>
              <w:t>ALLOW</w:t>
            </w:r>
          </w:p>
        </w:tc>
        <w:tc>
          <w:tcPr>
            <w:tcW w:type="dxa" w:w="3389"/>
            <w:vAlign w:val="top"/>
            <w:tcMar>
              <w:top w:w="80" w:type="dxa"/>
              <w:start w:w="90" w:type="dxa"/>
              <w:bottom w:w="80" w:type="dxa"/>
              <w:end w:w="90" w:type="dxa"/>
            </w:tcMar>
          </w:tcPr>
          <w:p>
            <w:r>
              <w:rPr>
                <w:color w:val="111827"/>
                <w:sz w:val="18"/>
              </w:rPr>
              <w:t>Condiciones compatibles con política.</w:t>
            </w:r>
          </w:p>
        </w:tc>
        <w:tc>
          <w:tcPr>
            <w:tcW w:type="dxa" w:w="3389"/>
            <w:vAlign w:val="top"/>
            <w:tcMar>
              <w:top w:w="80" w:type="dxa"/>
              <w:start w:w="90" w:type="dxa"/>
              <w:bottom w:w="80" w:type="dxa"/>
              <w:end w:w="90" w:type="dxa"/>
            </w:tcMar>
          </w:tcPr>
          <w:p>
            <w:r>
              <w:rPr>
                <w:color w:val="111827"/>
                <w:sz w:val="18"/>
              </w:rPr>
              <w:t>Habilita firma y ejecución; genera attestation.</w:t>
            </w:r>
          </w:p>
        </w:tc>
      </w:tr>
      <w:tr>
        <w:tc>
          <w:tcPr>
            <w:tcW w:type="dxa" w:w="3389"/>
            <w:vAlign w:val="top"/>
            <w:tcMar>
              <w:top w:w="80" w:type="dxa"/>
              <w:start w:w="90" w:type="dxa"/>
              <w:bottom w:w="80" w:type="dxa"/>
              <w:end w:w="90" w:type="dxa"/>
            </w:tcMar>
          </w:tcPr>
          <w:p>
            <w:r>
              <w:rPr>
                <w:color w:val="111827"/>
                <w:sz w:val="18"/>
              </w:rPr>
              <w:t>WARN</w:t>
            </w:r>
          </w:p>
        </w:tc>
        <w:tc>
          <w:tcPr>
            <w:tcW w:type="dxa" w:w="3389"/>
            <w:vAlign w:val="top"/>
            <w:tcMar>
              <w:top w:w="80" w:type="dxa"/>
              <w:start w:w="90" w:type="dxa"/>
              <w:bottom w:w="80" w:type="dxa"/>
              <w:end w:w="90" w:type="dxa"/>
            </w:tcMar>
          </w:tcPr>
          <w:p>
            <w:r>
              <w:rPr>
                <w:color w:val="111827"/>
                <w:sz w:val="18"/>
              </w:rPr>
              <w:t>Riesgo no crítico o evidencia incompleta.</w:t>
            </w:r>
          </w:p>
        </w:tc>
        <w:tc>
          <w:tcPr>
            <w:tcW w:type="dxa" w:w="3389"/>
            <w:vAlign w:val="top"/>
            <w:tcMar>
              <w:top w:w="80" w:type="dxa"/>
              <w:start w:w="90" w:type="dxa"/>
              <w:bottom w:w="80" w:type="dxa"/>
              <w:end w:w="90" w:type="dxa"/>
            </w:tcMar>
          </w:tcPr>
          <w:p>
            <w:r>
              <w:rPr>
                <w:color w:val="111827"/>
                <w:sz w:val="18"/>
              </w:rPr>
              <w:t>Requiere confirmación reforzada o límites conservadores.</w:t>
            </w:r>
          </w:p>
        </w:tc>
      </w:tr>
      <w:tr>
        <w:tc>
          <w:tcPr>
            <w:tcW w:type="dxa" w:w="3389"/>
            <w:vAlign w:val="top"/>
            <w:tcMar>
              <w:top w:w="80" w:type="dxa"/>
              <w:start w:w="90" w:type="dxa"/>
              <w:bottom w:w="80" w:type="dxa"/>
              <w:end w:w="90" w:type="dxa"/>
            </w:tcMar>
          </w:tcPr>
          <w:p>
            <w:r>
              <w:rPr>
                <w:color w:val="111827"/>
                <w:sz w:val="18"/>
              </w:rPr>
              <w:t>BLOCK</w:t>
            </w:r>
          </w:p>
        </w:tc>
        <w:tc>
          <w:tcPr>
            <w:tcW w:type="dxa" w:w="3389"/>
            <w:vAlign w:val="top"/>
            <w:tcMar>
              <w:top w:w="80" w:type="dxa"/>
              <w:start w:w="90" w:type="dxa"/>
              <w:bottom w:w="80" w:type="dxa"/>
              <w:end w:w="90" w:type="dxa"/>
            </w:tcMar>
          </w:tcPr>
          <w:p>
            <w:r>
              <w:rPr>
                <w:color w:val="111827"/>
                <w:sz w:val="18"/>
              </w:rPr>
              <w:t>Fallo crítico o política incumplida.</w:t>
            </w:r>
          </w:p>
        </w:tc>
        <w:tc>
          <w:tcPr>
            <w:tcW w:type="dxa" w:w="3389"/>
            <w:vAlign w:val="top"/>
            <w:tcMar>
              <w:top w:w="80" w:type="dxa"/>
              <w:start w:w="90" w:type="dxa"/>
              <w:bottom w:w="80" w:type="dxa"/>
              <w:end w:w="90" w:type="dxa"/>
            </w:tcMar>
          </w:tcPr>
          <w:p>
            <w:r>
              <w:rPr>
                <w:color w:val="111827"/>
                <w:sz w:val="18"/>
              </w:rPr>
              <w:t>Deshabilita ejecución y presenta las causas.</w:t>
            </w:r>
          </w:p>
        </w:tc>
      </w:tr>
    </w:tbl>
    <w:p/>
    <w:p>
      <w:pPr>
        <w:pStyle w:val="Heading1"/>
      </w:pPr>
      <w:r>
        <w:t>8. Flujo operativo completo</w:t>
      </w:r>
    </w:p>
    <w:p>
      <w:pPr>
        <w:pStyle w:val="ListNumber"/>
      </w:pPr>
      <w:r>
        <w:t>El usuario selecciona un activo tokenizado o una oportunidad pre-IPO.</w:t>
      </w:r>
    </w:p>
    <w:p>
      <w:pPr>
        <w:pStyle w:val="ListNumber"/>
      </w:pPr>
      <w:r>
        <w:t>StockShield resuelve identidad, mint, emisor, venue y datos de referencia.</w:t>
      </w:r>
    </w:p>
    <w:p>
      <w:pPr>
        <w:pStyle w:val="ListNumber"/>
      </w:pPr>
      <w:r>
        <w:t>Pyth aporta precio, confidence, sesión y frescura; PreStocks aporta metadatos cuando corresponde.</w:t>
      </w:r>
    </w:p>
    <w:p>
      <w:pPr>
        <w:pStyle w:val="ListNumber"/>
      </w:pPr>
      <w:r>
        <w:t>SWAT analiza wallets, contratos, pool, exposición contaminada, grafos y amenazas.</w:t>
      </w:r>
    </w:p>
    <w:p>
      <w:pPr>
        <w:pStyle w:val="ListNumber"/>
      </w:pPr>
      <w:r>
        <w:t>El motor de liquidez calcula profundidad, slippage e impacto esperado.</w:t>
      </w:r>
    </w:p>
    <w:p>
      <w:pPr>
        <w:pStyle w:val="ListNumber"/>
      </w:pPr>
      <w:r>
        <w:t>Execution Safety simula la operación y evalúa MEV, sandwich y calidad de ruta.</w:t>
      </w:r>
    </w:p>
    <w:p>
      <w:pPr>
        <w:pStyle w:val="ListNumber"/>
      </w:pPr>
      <w:r>
        <w:t>Policy Engine consolida todas las evidencias y produce score + ALLOW/WARN/BLOCK.</w:t>
      </w:r>
    </w:p>
    <w:p>
      <w:pPr>
        <w:pStyle w:val="ListNumber"/>
      </w:pPr>
      <w:r>
        <w:t>El controlador Meteora ajusta la política de curva/fees cuando el activo utiliza DBC.</w:t>
      </w:r>
    </w:p>
    <w:p>
      <w:pPr>
        <w:pStyle w:val="ListNumber"/>
      </w:pPr>
      <w:r>
        <w:t>La interfaz habilita o bloquea la firma según la decisión.</w:t>
      </w:r>
    </w:p>
    <w:p>
      <w:pPr>
        <w:pStyle w:val="ListNumber"/>
      </w:pPr>
      <w:r>
        <w:t>Phantom firma la operación permitida y StockShield publica una attestation en Solana.</w:t>
      </w:r>
    </w:p>
    <w:p>
      <w:pPr>
        <w:pStyle w:val="ListNumber"/>
      </w:pPr>
      <w:r>
        <w:t>La firma, el hash de evidencia y la explicación de la decisión quedan disponibles para auditoría.</w:t>
      </w:r>
    </w:p>
    <w:p>
      <w:pPr>
        <w:pStyle w:val="Heading1"/>
      </w:pPr>
      <w:r>
        <w:t>9. Risk-Adaptive DBC</w:t>
      </w:r>
    </w:p>
    <w:p>
      <w:r>
        <w:t>El controlador Risk-Adaptive DBC convierte inteligencia de seguridad en comportamiento de mercado. No utiliza una única curva estática: adapta parámetros de forma determinista según el estado del activo y del mercado.</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0B1020"/>
            <w:vAlign w:val="center"/>
          </w:tcPr>
          <w:p>
            <w:r>
              <w:rPr>
                <w:b/>
                <w:color w:val="FFFFFF"/>
                <w:sz w:val="19"/>
              </w:rPr>
              <w:t>Estado</w:t>
            </w:r>
          </w:p>
        </w:tc>
        <w:tc>
          <w:tcPr>
            <w:tcW w:type="dxa" w:w="3389"/>
            <w:shd w:fill="0B1020"/>
            <w:vAlign w:val="center"/>
          </w:tcPr>
          <w:p>
            <w:r>
              <w:rPr>
                <w:b/>
                <w:color w:val="FFFFFF"/>
                <w:sz w:val="19"/>
              </w:rPr>
              <w:t>Condición típica</w:t>
            </w:r>
          </w:p>
        </w:tc>
        <w:tc>
          <w:tcPr>
            <w:tcW w:type="dxa" w:w="3389"/>
            <w:shd w:fill="0B1020"/>
            <w:vAlign w:val="center"/>
          </w:tcPr>
          <w:p>
            <w:r>
              <w:rPr>
                <w:b/>
                <w:color w:val="FFFFFF"/>
                <w:sz w:val="19"/>
              </w:rPr>
              <w:t>Política DBC</w:t>
            </w:r>
          </w:p>
        </w:tc>
      </w:tr>
      <w:tr>
        <w:tc>
          <w:tcPr>
            <w:tcW w:type="dxa" w:w="3389"/>
            <w:vAlign w:val="top"/>
            <w:tcMar>
              <w:top w:w="80" w:type="dxa"/>
              <w:start w:w="90" w:type="dxa"/>
              <w:bottom w:w="80" w:type="dxa"/>
              <w:end w:w="90" w:type="dxa"/>
            </w:tcMar>
          </w:tcPr>
          <w:p>
            <w:r>
              <w:rPr>
                <w:color w:val="111827"/>
                <w:sz w:val="18"/>
              </w:rPr>
              <w:t>NORMAL</w:t>
            </w:r>
          </w:p>
        </w:tc>
        <w:tc>
          <w:tcPr>
            <w:tcW w:type="dxa" w:w="3389"/>
            <w:vAlign w:val="top"/>
            <w:tcMar>
              <w:top w:w="80" w:type="dxa"/>
              <w:start w:w="90" w:type="dxa"/>
              <w:bottom w:w="80" w:type="dxa"/>
              <w:end w:w="90" w:type="dxa"/>
            </w:tcMar>
          </w:tcPr>
          <w:p>
            <w:r>
              <w:rPr>
                <w:color w:val="111827"/>
                <w:sz w:val="18"/>
              </w:rPr>
              <w:t>Alta integridad, oráculo sano, profundidad suficiente.</w:t>
            </w:r>
          </w:p>
        </w:tc>
        <w:tc>
          <w:tcPr>
            <w:tcW w:type="dxa" w:w="3389"/>
            <w:vAlign w:val="top"/>
            <w:tcMar>
              <w:top w:w="80" w:type="dxa"/>
              <w:start w:w="90" w:type="dxa"/>
              <w:bottom w:w="80" w:type="dxa"/>
              <w:end w:w="90" w:type="dxa"/>
            </w:tcMar>
          </w:tcPr>
          <w:p>
            <w:r>
              <w:rPr>
                <w:color w:val="111827"/>
                <w:sz w:val="18"/>
              </w:rPr>
              <w:t>Fee normal, curva estándar, ejecución habilitada.</w:t>
            </w:r>
          </w:p>
        </w:tc>
      </w:tr>
      <w:tr>
        <w:tc>
          <w:tcPr>
            <w:tcW w:type="dxa" w:w="3389"/>
            <w:vAlign w:val="top"/>
            <w:tcMar>
              <w:top w:w="80" w:type="dxa"/>
              <w:start w:w="90" w:type="dxa"/>
              <w:bottom w:w="80" w:type="dxa"/>
              <w:end w:w="90" w:type="dxa"/>
            </w:tcMar>
          </w:tcPr>
          <w:p>
            <w:r>
              <w:rPr>
                <w:color w:val="111827"/>
                <w:sz w:val="18"/>
              </w:rPr>
              <w:t>DEFENSIVE</w:t>
            </w:r>
          </w:p>
        </w:tc>
        <w:tc>
          <w:tcPr>
            <w:tcW w:type="dxa" w:w="3389"/>
            <w:vAlign w:val="top"/>
            <w:tcMar>
              <w:top w:w="80" w:type="dxa"/>
              <w:start w:w="90" w:type="dxa"/>
              <w:bottom w:w="80" w:type="dxa"/>
              <w:end w:w="90" w:type="dxa"/>
            </w:tcMar>
          </w:tcPr>
          <w:p>
            <w:r>
              <w:rPr>
                <w:color w:val="111827"/>
                <w:sz w:val="18"/>
              </w:rPr>
              <w:t>Divergencia moderada, volatilidad elevada o menor liquidez.</w:t>
            </w:r>
          </w:p>
        </w:tc>
        <w:tc>
          <w:tcPr>
            <w:tcW w:type="dxa" w:w="3389"/>
            <w:vAlign w:val="top"/>
            <w:tcMar>
              <w:top w:w="80" w:type="dxa"/>
              <w:start w:w="90" w:type="dxa"/>
              <w:bottom w:w="80" w:type="dxa"/>
              <w:end w:w="90" w:type="dxa"/>
            </w:tcMar>
          </w:tcPr>
          <w:p>
            <w:r>
              <w:rPr>
                <w:color w:val="111827"/>
                <w:sz w:val="18"/>
              </w:rPr>
              <w:t>Fee superior, límites conservadores, mayor protección de ejecución.</w:t>
            </w:r>
          </w:p>
        </w:tc>
      </w:tr>
      <w:tr>
        <w:tc>
          <w:tcPr>
            <w:tcW w:type="dxa" w:w="3389"/>
            <w:vAlign w:val="top"/>
            <w:tcMar>
              <w:top w:w="80" w:type="dxa"/>
              <w:start w:w="90" w:type="dxa"/>
              <w:bottom w:w="80" w:type="dxa"/>
              <w:end w:w="90" w:type="dxa"/>
            </w:tcMar>
          </w:tcPr>
          <w:p>
            <w:r>
              <w:rPr>
                <w:color w:val="111827"/>
                <w:sz w:val="18"/>
              </w:rPr>
              <w:t>CRITICAL</w:t>
            </w:r>
          </w:p>
        </w:tc>
        <w:tc>
          <w:tcPr>
            <w:tcW w:type="dxa" w:w="3389"/>
            <w:vAlign w:val="top"/>
            <w:tcMar>
              <w:top w:w="80" w:type="dxa"/>
              <w:start w:w="90" w:type="dxa"/>
              <w:bottom w:w="80" w:type="dxa"/>
              <w:end w:w="90" w:type="dxa"/>
            </w:tcMar>
          </w:tcPr>
          <w:p>
            <w:r>
              <w:rPr>
                <w:color w:val="111827"/>
                <w:sz w:val="18"/>
              </w:rPr>
              <w:t>Fallo de integridad, oracle stale, actividad sospechosa o manipulación.</w:t>
            </w:r>
          </w:p>
        </w:tc>
        <w:tc>
          <w:tcPr>
            <w:tcW w:type="dxa" w:w="3389"/>
            <w:vAlign w:val="top"/>
            <w:tcMar>
              <w:top w:w="80" w:type="dxa"/>
              <w:start w:w="90" w:type="dxa"/>
              <w:bottom w:w="80" w:type="dxa"/>
              <w:end w:w="90" w:type="dxa"/>
            </w:tcMar>
          </w:tcPr>
          <w:p>
            <w:r>
              <w:rPr>
                <w:color w:val="111827"/>
                <w:sz w:val="18"/>
              </w:rPr>
              <w:t>Gate BLOCK, alerta operativa y suspensión de ejecución desde StockShield.</w:t>
            </w:r>
          </w:p>
        </w:tc>
      </w:tr>
    </w:tbl>
    <w:p/>
    <w:p>
      <w:pPr>
        <w:pStyle w:val="Heading1"/>
      </w:pPr>
      <w:r>
        <w:t>10. Inteligencia forense y grafos</w:t>
      </w:r>
    </w:p>
    <w:p>
      <w:r>
        <w:t>StockShield puede descender desde el activo y el pool hacia wallets relacionadas para explicar de dónde proviene el riesgo. El grafo conecta mint, issuer, pool, LPs, market makers, wallets, contratos y clústeres detectados por SWAT.</w:t>
      </w:r>
    </w:p>
    <w:p>
      <w:pPr>
        <w:pStyle w:val="ListBullet"/>
      </w:pPr>
      <w:r>
        <w:t>Profundidad configurable de relaciones.</w:t>
      </w:r>
    </w:p>
    <w:p>
      <w:pPr>
        <w:pStyle w:val="ListBullet"/>
      </w:pPr>
      <w:r>
        <w:t>Trazabilidad hacia wallet origen o clúster relevante.</w:t>
      </w:r>
    </w:p>
    <w:p>
      <w:pPr>
        <w:pStyle w:val="ListBullet"/>
      </w:pPr>
      <w:r>
        <w:t>Marcado visual de exposición contaminada.</w:t>
      </w:r>
    </w:p>
    <w:p>
      <w:pPr>
        <w:pStyle w:val="ListBullet"/>
      </w:pPr>
      <w:r>
        <w:t>Separación entre evidencia observada, inferencia y señal de riesgo.</w:t>
      </w:r>
    </w:p>
    <w:p>
      <w:pPr>
        <w:pStyle w:val="ListBullet"/>
      </w:pPr>
      <w:r>
        <w:t>Enlaces verificables a exploradores de la red para direcciones y transacciones.</w:t>
      </w:r>
    </w:p>
    <w:p>
      <w:pPr>
        <w:pStyle w:val="ListBullet"/>
      </w:pPr>
      <w:r>
        <w:t>Correlación temporal para distinguir proximidad causal de mera asociación.</w:t>
      </w:r>
    </w:p>
    <w:p>
      <w:pPr>
        <w:pStyle w:val="Heading1"/>
      </w:pPr>
      <w:r>
        <w:t>11. API y uso como middleware</w:t>
      </w:r>
    </w:p>
    <w:p>
      <w:pPr>
        <w:pStyle w:val="CodeBlock"/>
        <w:shd w:fill="F3F5FA"/>
      </w:pPr>
      <w:r>
        <w:t>GET  /v1/assets/{mint}/risk</w:t>
        <w:br/>
        <w:t>GET  /v1/assets/{mint}/price-integrity</w:t>
        <w:br/>
        <w:t>GET  /v1/pools/{address}/health</w:t>
        <w:br/>
        <w:t>GET  /v1/wallets/{address}/exposure</w:t>
        <w:br/>
        <w:t>GET  /v1/threats/{asset}</w:t>
        <w:br/>
        <w:t>POST /v1/pre-trade</w:t>
        <w:br/>
        <w:t>POST /v1/attestations</w:t>
        <w:br/>
        <w:t>POST /v1/meteora/dbc/policy</w:t>
      </w:r>
    </w:p>
    <w:p>
      <w:r>
        <w:t>La API devuelve evidencia normalizada, score, decisión, razones, timestamps, versión de política y hash de evidencia. Esto permite incrustar StockShield en wallets, brokers, DEXs, backends institucionales y automatizaciones sin depender de la interfaz web.</w:t>
      </w:r>
    </w:p>
    <w:p>
      <w:pPr>
        <w:pStyle w:val="Heading1"/>
      </w:pPr>
      <w:r>
        <w:t>12. Seguridad del sistema</w:t>
      </w:r>
    </w:p>
    <w:p>
      <w:pPr>
        <w:pStyle w:val="ListBullet"/>
      </w:pPr>
      <w:r>
        <w:t>Claves de Pyth y SWAT exclusivamente server-side.</w:t>
      </w:r>
    </w:p>
    <w:p>
      <w:pPr>
        <w:pStyle w:val="ListBullet"/>
      </w:pPr>
      <w:r>
        <w:t>Separación estricta entre datos públicos y secretos operativos.</w:t>
      </w:r>
    </w:p>
    <w:p>
      <w:pPr>
        <w:pStyle w:val="ListBullet"/>
      </w:pPr>
      <w:r>
        <w:t>Políticas reproducibles y versionadas para evitar decisiones opacas.</w:t>
      </w:r>
    </w:p>
    <w:p>
      <w:pPr>
        <w:pStyle w:val="ListBullet"/>
      </w:pPr>
      <w:r>
        <w:t>Hash de evidencia para demostrar integridad del conjunto de señales utilizado.</w:t>
      </w:r>
    </w:p>
    <w:p>
      <w:pPr>
        <w:pStyle w:val="ListBullet"/>
      </w:pPr>
      <w:r>
        <w:t>Firmas y transacciones verificables en Solana.</w:t>
      </w:r>
    </w:p>
    <w:p>
      <w:pPr>
        <w:pStyle w:val="ListBullet"/>
      </w:pPr>
      <w:r>
        <w:t>Fallbacks etiquetados: cualquier dato sintético o degradado se identifica expresamente y no se presenta como live.</w:t>
      </w:r>
    </w:p>
    <w:p>
      <w:pPr>
        <w:pStyle w:val="ListBullet"/>
      </w:pPr>
      <w:r>
        <w:t>Rate limiting, autenticación por API key y perfiles de acceso para integraciones B2B.</w:t>
      </w:r>
    </w:p>
    <w:p>
      <w:pPr>
        <w:pStyle w:val="ListBullet"/>
      </w:pPr>
      <w:r>
        <w:t>Observabilidad de latencia, errores de proveedor, estado de oráculos y degradación de fuentes.</w:t>
      </w:r>
    </w:p>
    <w:p>
      <w:pPr>
        <w:pStyle w:val="Heading1"/>
      </w:pPr>
      <w:r>
        <w:t>13. Observabilidad y operación</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0B1020"/>
            <w:vAlign w:val="center"/>
          </w:tcPr>
          <w:p>
            <w:r>
              <w:rPr>
                <w:b/>
                <w:color w:val="FFFFFF"/>
                <w:sz w:val="19"/>
              </w:rPr>
              <w:t>Indicador</w:t>
            </w:r>
          </w:p>
        </w:tc>
        <w:tc>
          <w:tcPr>
            <w:tcW w:type="dxa" w:w="5083"/>
            <w:shd w:fill="0B1020"/>
            <w:vAlign w:val="center"/>
          </w:tcPr>
          <w:p>
            <w:r>
              <w:rPr>
                <w:b/>
                <w:color w:val="FFFFFF"/>
                <w:sz w:val="19"/>
              </w:rPr>
              <w:t>Objetivo operativo</w:t>
            </w:r>
          </w:p>
        </w:tc>
      </w:tr>
      <w:tr>
        <w:tc>
          <w:tcPr>
            <w:tcW w:type="dxa" w:w="5083"/>
            <w:vAlign w:val="top"/>
            <w:tcMar>
              <w:top w:w="80" w:type="dxa"/>
              <w:start w:w="90" w:type="dxa"/>
              <w:bottom w:w="80" w:type="dxa"/>
              <w:end w:w="90" w:type="dxa"/>
            </w:tcMar>
          </w:tcPr>
          <w:p>
            <w:r>
              <w:rPr>
                <w:color w:val="111827"/>
                <w:sz w:val="18"/>
              </w:rPr>
              <w:t>Core status</w:t>
            </w:r>
          </w:p>
        </w:tc>
        <w:tc>
          <w:tcPr>
            <w:tcW w:type="dxa" w:w="5083"/>
            <w:vAlign w:val="top"/>
            <w:tcMar>
              <w:top w:w="80" w:type="dxa"/>
              <w:start w:w="90" w:type="dxa"/>
              <w:bottom w:w="80" w:type="dxa"/>
              <w:end w:w="90" w:type="dxa"/>
            </w:tcMar>
          </w:tcPr>
          <w:p>
            <w:r>
              <w:rPr>
                <w:color w:val="111827"/>
                <w:sz w:val="18"/>
              </w:rPr>
              <w:t>LIVE / DEGRADED / OFFLINE por proveedor.</w:t>
            </w:r>
          </w:p>
        </w:tc>
      </w:tr>
      <w:tr>
        <w:tc>
          <w:tcPr>
            <w:tcW w:type="dxa" w:w="5083"/>
            <w:vAlign w:val="top"/>
            <w:tcMar>
              <w:top w:w="80" w:type="dxa"/>
              <w:start w:w="90" w:type="dxa"/>
              <w:bottom w:w="80" w:type="dxa"/>
              <w:end w:w="90" w:type="dxa"/>
            </w:tcMar>
          </w:tcPr>
          <w:p>
            <w:r>
              <w:rPr>
                <w:color w:val="111827"/>
                <w:sz w:val="18"/>
              </w:rPr>
              <w:t>Data freshness</w:t>
            </w:r>
          </w:p>
        </w:tc>
        <w:tc>
          <w:tcPr>
            <w:tcW w:type="dxa" w:w="5083"/>
            <w:vAlign w:val="top"/>
            <w:tcMar>
              <w:top w:w="80" w:type="dxa"/>
              <w:start w:w="90" w:type="dxa"/>
              <w:bottom w:w="80" w:type="dxa"/>
              <w:end w:w="90" w:type="dxa"/>
            </w:tcMar>
          </w:tcPr>
          <w:p>
            <w:r>
              <w:rPr>
                <w:color w:val="111827"/>
                <w:sz w:val="18"/>
              </w:rPr>
              <w:t>Edad de cada feed y última actualización.</w:t>
            </w:r>
          </w:p>
        </w:tc>
      </w:tr>
      <w:tr>
        <w:tc>
          <w:tcPr>
            <w:tcW w:type="dxa" w:w="5083"/>
            <w:vAlign w:val="top"/>
            <w:tcMar>
              <w:top w:w="80" w:type="dxa"/>
              <w:start w:w="90" w:type="dxa"/>
              <w:bottom w:w="80" w:type="dxa"/>
              <w:end w:w="90" w:type="dxa"/>
            </w:tcMar>
          </w:tcPr>
          <w:p>
            <w:r>
              <w:rPr>
                <w:color w:val="111827"/>
                <w:sz w:val="18"/>
              </w:rPr>
              <w:t>Decision latency</w:t>
            </w:r>
          </w:p>
        </w:tc>
        <w:tc>
          <w:tcPr>
            <w:tcW w:type="dxa" w:w="5083"/>
            <w:vAlign w:val="top"/>
            <w:tcMar>
              <w:top w:w="80" w:type="dxa"/>
              <w:start w:w="90" w:type="dxa"/>
              <w:bottom w:w="80" w:type="dxa"/>
              <w:end w:w="90" w:type="dxa"/>
            </w:tcMar>
          </w:tcPr>
          <w:p>
            <w:r>
              <w:rPr>
                <w:color w:val="111827"/>
                <w:sz w:val="18"/>
              </w:rPr>
              <w:t>Tiempo total desde solicitud hasta policy result.</w:t>
            </w:r>
          </w:p>
        </w:tc>
      </w:tr>
      <w:tr>
        <w:tc>
          <w:tcPr>
            <w:tcW w:type="dxa" w:w="5083"/>
            <w:vAlign w:val="top"/>
            <w:tcMar>
              <w:top w:w="80" w:type="dxa"/>
              <w:start w:w="90" w:type="dxa"/>
              <w:bottom w:w="80" w:type="dxa"/>
              <w:end w:w="90" w:type="dxa"/>
            </w:tcMar>
          </w:tcPr>
          <w:p>
            <w:r>
              <w:rPr>
                <w:color w:val="111827"/>
                <w:sz w:val="18"/>
              </w:rPr>
              <w:t>Provider errors</w:t>
            </w:r>
          </w:p>
        </w:tc>
        <w:tc>
          <w:tcPr>
            <w:tcW w:type="dxa" w:w="5083"/>
            <w:vAlign w:val="top"/>
            <w:tcMar>
              <w:top w:w="80" w:type="dxa"/>
              <w:start w:w="90" w:type="dxa"/>
              <w:bottom w:w="80" w:type="dxa"/>
              <w:end w:w="90" w:type="dxa"/>
            </w:tcMar>
          </w:tcPr>
          <w:p>
            <w:r>
              <w:rPr>
                <w:color w:val="111827"/>
                <w:sz w:val="18"/>
              </w:rPr>
              <w:t>Pyth, PreStocks, SWAT, RPC y Meteora por separado.</w:t>
            </w:r>
          </w:p>
        </w:tc>
      </w:tr>
      <w:tr>
        <w:tc>
          <w:tcPr>
            <w:tcW w:type="dxa" w:w="5083"/>
            <w:vAlign w:val="top"/>
            <w:tcMar>
              <w:top w:w="80" w:type="dxa"/>
              <w:start w:w="90" w:type="dxa"/>
              <w:bottom w:w="80" w:type="dxa"/>
              <w:end w:w="90" w:type="dxa"/>
            </w:tcMar>
          </w:tcPr>
          <w:p>
            <w:r>
              <w:rPr>
                <w:color w:val="111827"/>
                <w:sz w:val="18"/>
              </w:rPr>
              <w:t>Risk drift</w:t>
            </w:r>
          </w:p>
        </w:tc>
        <w:tc>
          <w:tcPr>
            <w:tcW w:type="dxa" w:w="5083"/>
            <w:vAlign w:val="top"/>
            <w:tcMar>
              <w:top w:w="80" w:type="dxa"/>
              <w:start w:w="90" w:type="dxa"/>
              <w:bottom w:w="80" w:type="dxa"/>
              <w:end w:w="90" w:type="dxa"/>
            </w:tcMar>
          </w:tcPr>
          <w:p>
            <w:r>
              <w:rPr>
                <w:color w:val="111827"/>
                <w:sz w:val="18"/>
              </w:rPr>
              <w:t>Cambio del score y de sus componentes en el tiempo.</w:t>
            </w:r>
          </w:p>
        </w:tc>
      </w:tr>
      <w:tr>
        <w:tc>
          <w:tcPr>
            <w:tcW w:type="dxa" w:w="5083"/>
            <w:vAlign w:val="top"/>
            <w:tcMar>
              <w:top w:w="80" w:type="dxa"/>
              <w:start w:w="90" w:type="dxa"/>
              <w:bottom w:w="80" w:type="dxa"/>
              <w:end w:w="90" w:type="dxa"/>
            </w:tcMar>
          </w:tcPr>
          <w:p>
            <w:r>
              <w:rPr>
                <w:color w:val="111827"/>
                <w:sz w:val="18"/>
              </w:rPr>
              <w:t>Blocked trades</w:t>
            </w:r>
          </w:p>
        </w:tc>
        <w:tc>
          <w:tcPr>
            <w:tcW w:type="dxa" w:w="5083"/>
            <w:vAlign w:val="top"/>
            <w:tcMar>
              <w:top w:w="80" w:type="dxa"/>
              <w:start w:w="90" w:type="dxa"/>
              <w:bottom w:w="80" w:type="dxa"/>
              <w:end w:w="90" w:type="dxa"/>
            </w:tcMar>
          </w:tcPr>
          <w:p>
            <w:r>
              <w:rPr>
                <w:color w:val="111827"/>
                <w:sz w:val="18"/>
              </w:rPr>
              <w:t>Causa, activo, policy version y evidencia.</w:t>
            </w:r>
          </w:p>
        </w:tc>
      </w:tr>
      <w:tr>
        <w:tc>
          <w:tcPr>
            <w:tcW w:type="dxa" w:w="5083"/>
            <w:vAlign w:val="top"/>
            <w:tcMar>
              <w:top w:w="80" w:type="dxa"/>
              <w:start w:w="90" w:type="dxa"/>
              <w:bottom w:w="80" w:type="dxa"/>
              <w:end w:w="90" w:type="dxa"/>
            </w:tcMar>
          </w:tcPr>
          <w:p>
            <w:r>
              <w:rPr>
                <w:color w:val="111827"/>
                <w:sz w:val="18"/>
              </w:rPr>
              <w:t>Attestation status</w:t>
            </w:r>
          </w:p>
        </w:tc>
        <w:tc>
          <w:tcPr>
            <w:tcW w:type="dxa" w:w="5083"/>
            <w:vAlign w:val="top"/>
            <w:tcMar>
              <w:top w:w="80" w:type="dxa"/>
              <w:start w:w="90" w:type="dxa"/>
              <w:bottom w:w="80" w:type="dxa"/>
              <w:end w:w="90" w:type="dxa"/>
            </w:tcMar>
          </w:tcPr>
          <w:p>
            <w:r>
              <w:rPr>
                <w:color w:val="111827"/>
                <w:sz w:val="18"/>
              </w:rPr>
              <w:t>Firma, cluster, slot y explorer reference.</w:t>
            </w:r>
          </w:p>
        </w:tc>
      </w:tr>
    </w:tbl>
    <w:p/>
    <w:p>
      <w:pPr>
        <w:pStyle w:val="Heading1"/>
      </w:pPr>
      <w:r>
        <w:t>14. Casos de uso</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0B1020"/>
            <w:vAlign w:val="center"/>
          </w:tcPr>
          <w:p>
            <w:r>
              <w:rPr>
                <w:b/>
                <w:color w:val="FFFFFF"/>
                <w:sz w:val="19"/>
              </w:rPr>
              <w:t>Caso</w:t>
            </w:r>
          </w:p>
        </w:tc>
        <w:tc>
          <w:tcPr>
            <w:tcW w:type="dxa" w:w="5083"/>
            <w:shd w:fill="0B1020"/>
            <w:vAlign w:val="center"/>
          </w:tcPr>
          <w:p>
            <w:r>
              <w:rPr>
                <w:b/>
                <w:color w:val="FFFFFF"/>
                <w:sz w:val="19"/>
              </w:rPr>
              <w:t>Cómo interviene StockShield</w:t>
            </w:r>
          </w:p>
        </w:tc>
      </w:tr>
      <w:tr>
        <w:tc>
          <w:tcPr>
            <w:tcW w:type="dxa" w:w="5083"/>
            <w:vAlign w:val="top"/>
            <w:tcMar>
              <w:top w:w="80" w:type="dxa"/>
              <w:start w:w="90" w:type="dxa"/>
              <w:bottom w:w="80" w:type="dxa"/>
              <w:end w:w="90" w:type="dxa"/>
            </w:tcMar>
          </w:tcPr>
          <w:p>
            <w:r>
              <w:rPr>
                <w:color w:val="111827"/>
                <w:sz w:val="18"/>
              </w:rPr>
              <w:t>Compra de acción tokenizada</w:t>
            </w:r>
          </w:p>
        </w:tc>
        <w:tc>
          <w:tcPr>
            <w:tcW w:type="dxa" w:w="5083"/>
            <w:vAlign w:val="top"/>
            <w:tcMar>
              <w:top w:w="80" w:type="dxa"/>
              <w:start w:w="90" w:type="dxa"/>
              <w:bottom w:w="80" w:type="dxa"/>
              <w:end w:w="90" w:type="dxa"/>
            </w:tcMar>
          </w:tcPr>
          <w:p>
            <w:r>
              <w:rPr>
                <w:color w:val="111827"/>
                <w:sz w:val="18"/>
              </w:rPr>
              <w:t>Valida precio, oráculo, pool, wallet risk y ruta antes de firmar.</w:t>
            </w:r>
          </w:p>
        </w:tc>
      </w:tr>
      <w:tr>
        <w:tc>
          <w:tcPr>
            <w:tcW w:type="dxa" w:w="5083"/>
            <w:vAlign w:val="top"/>
            <w:tcMar>
              <w:top w:w="80" w:type="dxa"/>
              <w:start w:w="90" w:type="dxa"/>
              <w:bottom w:w="80" w:type="dxa"/>
              <w:end w:w="90" w:type="dxa"/>
            </w:tcMar>
          </w:tcPr>
          <w:p>
            <w:r>
              <w:rPr>
                <w:color w:val="111827"/>
                <w:sz w:val="18"/>
              </w:rPr>
              <w:t>Trading de pre-IPO</w:t>
            </w:r>
          </w:p>
        </w:tc>
        <w:tc>
          <w:tcPr>
            <w:tcW w:type="dxa" w:w="5083"/>
            <w:vAlign w:val="top"/>
            <w:tcMar>
              <w:top w:w="80" w:type="dxa"/>
              <w:start w:w="90" w:type="dxa"/>
              <w:bottom w:w="80" w:type="dxa"/>
              <w:end w:w="90" w:type="dxa"/>
            </w:tcMar>
          </w:tcPr>
          <w:p>
            <w:r>
              <w:rPr>
                <w:color w:val="111827"/>
                <w:sz w:val="18"/>
              </w:rPr>
              <w:t>Compara token price, valoración, liquidez y señales de riesgo.</w:t>
            </w:r>
          </w:p>
        </w:tc>
      </w:tr>
      <w:tr>
        <w:tc>
          <w:tcPr>
            <w:tcW w:type="dxa" w:w="5083"/>
            <w:vAlign w:val="top"/>
            <w:tcMar>
              <w:top w:w="80" w:type="dxa"/>
              <w:start w:w="90" w:type="dxa"/>
              <w:bottom w:w="80" w:type="dxa"/>
              <w:end w:w="90" w:type="dxa"/>
            </w:tcMar>
          </w:tcPr>
          <w:p>
            <w:r>
              <w:rPr>
                <w:color w:val="111827"/>
                <w:sz w:val="18"/>
              </w:rPr>
              <w:t>Wallet consumer</w:t>
            </w:r>
          </w:p>
        </w:tc>
        <w:tc>
          <w:tcPr>
            <w:tcW w:type="dxa" w:w="5083"/>
            <w:vAlign w:val="top"/>
            <w:tcMar>
              <w:top w:w="80" w:type="dxa"/>
              <w:start w:w="90" w:type="dxa"/>
              <w:bottom w:w="80" w:type="dxa"/>
              <w:end w:w="90" w:type="dxa"/>
            </w:tcMar>
          </w:tcPr>
          <w:p>
            <w:r>
              <w:rPr>
                <w:color w:val="111827"/>
                <w:sz w:val="18"/>
              </w:rPr>
              <w:t>Añade un check automático al pulsar “Swap/Buy”.</w:t>
            </w:r>
          </w:p>
        </w:tc>
      </w:tr>
      <w:tr>
        <w:tc>
          <w:tcPr>
            <w:tcW w:type="dxa" w:w="5083"/>
            <w:vAlign w:val="top"/>
            <w:tcMar>
              <w:top w:w="80" w:type="dxa"/>
              <w:start w:w="90" w:type="dxa"/>
              <w:bottom w:w="80" w:type="dxa"/>
              <w:end w:w="90" w:type="dxa"/>
            </w:tcMar>
          </w:tcPr>
          <w:p>
            <w:r>
              <w:rPr>
                <w:color w:val="111827"/>
                <w:sz w:val="18"/>
              </w:rPr>
              <w:t>DEX / pool</w:t>
            </w:r>
          </w:p>
        </w:tc>
        <w:tc>
          <w:tcPr>
            <w:tcW w:type="dxa" w:w="5083"/>
            <w:vAlign w:val="top"/>
            <w:tcMar>
              <w:top w:w="80" w:type="dxa"/>
              <w:start w:w="90" w:type="dxa"/>
              <w:bottom w:w="80" w:type="dxa"/>
              <w:end w:w="90" w:type="dxa"/>
            </w:tcMar>
          </w:tcPr>
          <w:p>
            <w:r>
              <w:rPr>
                <w:color w:val="111827"/>
                <w:sz w:val="18"/>
              </w:rPr>
              <w:t>Monitoriza manipulación, concentración y riesgo adaptando política DBC.</w:t>
            </w:r>
          </w:p>
        </w:tc>
      </w:tr>
      <w:tr>
        <w:tc>
          <w:tcPr>
            <w:tcW w:type="dxa" w:w="5083"/>
            <w:vAlign w:val="top"/>
            <w:tcMar>
              <w:top w:w="80" w:type="dxa"/>
              <w:start w:w="90" w:type="dxa"/>
              <w:bottom w:w="80" w:type="dxa"/>
              <w:end w:w="90" w:type="dxa"/>
            </w:tcMar>
          </w:tcPr>
          <w:p>
            <w:r>
              <w:rPr>
                <w:color w:val="111827"/>
                <w:sz w:val="18"/>
              </w:rPr>
              <w:t>Mesa institucional</w:t>
            </w:r>
          </w:p>
        </w:tc>
        <w:tc>
          <w:tcPr>
            <w:tcW w:type="dxa" w:w="5083"/>
            <w:vAlign w:val="top"/>
            <w:tcMar>
              <w:top w:w="80" w:type="dxa"/>
              <w:start w:w="90" w:type="dxa"/>
              <w:bottom w:w="80" w:type="dxa"/>
              <w:end w:w="90" w:type="dxa"/>
            </w:tcMar>
          </w:tcPr>
          <w:p>
            <w:r>
              <w:rPr>
                <w:color w:val="111827"/>
                <w:sz w:val="18"/>
              </w:rPr>
              <w:t>Aplica política propia, conserva evidencia y automatiza límites.</w:t>
            </w:r>
          </w:p>
        </w:tc>
      </w:tr>
      <w:tr>
        <w:tc>
          <w:tcPr>
            <w:tcW w:type="dxa" w:w="5083"/>
            <w:vAlign w:val="top"/>
            <w:tcMar>
              <w:top w:w="80" w:type="dxa"/>
              <w:start w:w="90" w:type="dxa"/>
              <w:bottom w:w="80" w:type="dxa"/>
              <w:end w:w="90" w:type="dxa"/>
            </w:tcMar>
          </w:tcPr>
          <w:p>
            <w:r>
              <w:rPr>
                <w:color w:val="111827"/>
                <w:sz w:val="18"/>
              </w:rPr>
              <w:t>Issuer</w:t>
            </w:r>
          </w:p>
        </w:tc>
        <w:tc>
          <w:tcPr>
            <w:tcW w:type="dxa" w:w="5083"/>
            <w:vAlign w:val="top"/>
            <w:tcMar>
              <w:top w:w="80" w:type="dxa"/>
              <w:start w:w="90" w:type="dxa"/>
              <w:bottom w:w="80" w:type="dxa"/>
              <w:end w:w="90" w:type="dxa"/>
            </w:tcMar>
          </w:tcPr>
          <w:p>
            <w:r>
              <w:rPr>
                <w:color w:val="111827"/>
                <w:sz w:val="18"/>
              </w:rPr>
              <w:t>Vigila estabilidad del token y calidad del mercado secundario.</w:t>
            </w:r>
          </w:p>
        </w:tc>
      </w:tr>
      <w:tr>
        <w:tc>
          <w:tcPr>
            <w:tcW w:type="dxa" w:w="5083"/>
            <w:vAlign w:val="top"/>
            <w:tcMar>
              <w:top w:w="80" w:type="dxa"/>
              <w:start w:w="90" w:type="dxa"/>
              <w:bottom w:w="80" w:type="dxa"/>
              <w:end w:w="90" w:type="dxa"/>
            </w:tcMar>
          </w:tcPr>
          <w:p>
            <w:r>
              <w:rPr>
                <w:color w:val="111827"/>
                <w:sz w:val="18"/>
              </w:rPr>
              <w:t>Investigación forense</w:t>
            </w:r>
          </w:p>
        </w:tc>
        <w:tc>
          <w:tcPr>
            <w:tcW w:type="dxa" w:w="5083"/>
            <w:vAlign w:val="top"/>
            <w:tcMar>
              <w:top w:w="80" w:type="dxa"/>
              <w:start w:w="90" w:type="dxa"/>
              <w:bottom w:w="80" w:type="dxa"/>
              <w:end w:w="90" w:type="dxa"/>
            </w:tcMar>
          </w:tcPr>
          <w:p>
            <w:r>
              <w:rPr>
                <w:color w:val="111827"/>
                <w:sz w:val="18"/>
              </w:rPr>
              <w:t>Explora grafos y origen del riesgo desde pool/activo hacia wallets.</w:t>
            </w:r>
          </w:p>
        </w:tc>
      </w:tr>
    </w:tbl>
    <w:p/>
    <w:p>
      <w:pPr>
        <w:pStyle w:val="Heading1"/>
      </w:pPr>
      <w:r>
        <w:t>15. Experiencia de demostración</w:t>
      </w:r>
    </w:p>
    <w:p>
      <w:r>
        <w:t>La demo principal está diseñada para que el valor se comprenda en menos de tres minutos. Primero muestra un activo saludable con decisión ALLOW y prueba on-chain. Después ATTACK MODE introduce una anomalía sintética y claramente señalizada; el score cae, se explican las causas y el sistema cambia automáticamente a BLOCK.</w:t>
      </w:r>
    </w:p>
    <w:p>
      <w:pPr>
        <w:pStyle w:val="CodeBlock"/>
        <w:shd w:fill="F3F5FA"/>
      </w:pPr>
      <w:r>
        <w:t>HEALTHY MARKET</w:t>
        <w:br/>
        <w:t>StockShield Score: 94 / 100</w:t>
        <w:br/>
        <w:t>Decision: ALLOW</w:t>
        <w:br/>
        <w:t>Action: SIGN + ATTEST</w:t>
        <w:br/>
        <w:br/>
        <w:t>ATTACK MODE</w:t>
        <w:br/>
        <w:t>Price divergence: 6.93%</w:t>
        <w:br/>
        <w:t>Suspicious exposure: 8.5%</w:t>
        <w:br/>
        <w:t>Threat score: 88</w:t>
        <w:br/>
        <w:t>StockShield Score: 47 / 100</w:t>
        <w:br/>
        <w:t>Decision: BLOCK</w:t>
        <w:br/>
        <w:t>Action: TRADE DISABLED</w:t>
      </w:r>
    </w:p>
    <w:p>
      <w:pPr>
        <w:pStyle w:val="Heading1"/>
      </w:pPr>
      <w:r>
        <w:t>16. Posicionamiento para Stocklana</w:t>
      </w:r>
    </w:p>
    <w:p>
      <w:r>
        <w:t>StockShield ataca la infraestructura de confianza de los mercados de capital tokenizados. Su diferenciación no está en mostrar acciones, sino en transformar Pyth, Solana, Meteora, PreStocks y SWAT en una política de seguridad ejecutable en el instante previo a la firma.</w:t>
      </w:r>
    </w:p>
    <w:p>
      <w:pPr>
        <w:pStyle w:val="ListBullet"/>
      </w:pPr>
      <w:r>
        <w:t>Main Track: seguridad y ejecución para tokenized capital markets.</w:t>
      </w:r>
    </w:p>
    <w:p>
      <w:pPr>
        <w:pStyle w:val="ListBullet"/>
      </w:pPr>
      <w:r>
        <w:t>Pyth: los datos de mercado afectan directamente ALLOW/WARN/BLOCK.</w:t>
      </w:r>
    </w:p>
    <w:p>
      <w:pPr>
        <w:pStyle w:val="ListBullet"/>
      </w:pPr>
      <w:r>
        <w:t>PreStocks: inteligencia para activos pre-IPO tokenizados.</w:t>
      </w:r>
    </w:p>
    <w:p>
      <w:pPr>
        <w:pStyle w:val="ListBullet"/>
      </w:pPr>
      <w:r>
        <w:t>Meteora: DBC adaptativa según riesgo e integridad de mercado.</w:t>
      </w:r>
    </w:p>
    <w:p>
      <w:pPr>
        <w:pStyle w:val="ListBullet"/>
      </w:pPr>
      <w:r>
        <w:t>Solana: ejecución, verificabilidad y attestation on-chain.</w:t>
      </w:r>
    </w:p>
    <w:p>
      <w:r>
        <w:br w:type="page"/>
      </w:r>
    </w:p>
    <w:p>
      <w:pPr>
        <w:pStyle w:val="Heading1"/>
      </w:pPr>
      <w:r>
        <w:t>17. Modelo comercial</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0B1020"/>
            <w:vAlign w:val="center"/>
          </w:tcPr>
          <w:p>
            <w:r>
              <w:rPr>
                <w:b/>
                <w:color w:val="FFFFFF"/>
                <w:sz w:val="19"/>
              </w:rPr>
              <w:t>Modalidad</w:t>
            </w:r>
          </w:p>
        </w:tc>
        <w:tc>
          <w:tcPr>
            <w:tcW w:type="dxa" w:w="3389"/>
            <w:shd w:fill="0B1020"/>
            <w:vAlign w:val="center"/>
          </w:tcPr>
          <w:p>
            <w:r>
              <w:rPr>
                <w:b/>
                <w:color w:val="FFFFFF"/>
                <w:sz w:val="19"/>
              </w:rPr>
              <w:t>Cliente</w:t>
            </w:r>
          </w:p>
        </w:tc>
        <w:tc>
          <w:tcPr>
            <w:tcW w:type="dxa" w:w="3389"/>
            <w:shd w:fill="0B1020"/>
            <w:vAlign w:val="center"/>
          </w:tcPr>
          <w:p>
            <w:r>
              <w:rPr>
                <w:b/>
                <w:color w:val="FFFFFF"/>
                <w:sz w:val="19"/>
              </w:rPr>
              <w:t>Unidad de valor</w:t>
            </w:r>
          </w:p>
        </w:tc>
      </w:tr>
      <w:tr>
        <w:tc>
          <w:tcPr>
            <w:tcW w:type="dxa" w:w="3389"/>
            <w:vAlign w:val="top"/>
            <w:tcMar>
              <w:top w:w="80" w:type="dxa"/>
              <w:start w:w="90" w:type="dxa"/>
              <w:bottom w:w="80" w:type="dxa"/>
              <w:end w:w="90" w:type="dxa"/>
            </w:tcMar>
          </w:tcPr>
          <w:p>
            <w:r>
              <w:rPr>
                <w:color w:val="111827"/>
                <w:sz w:val="18"/>
              </w:rPr>
              <w:t>API SaaS</w:t>
            </w:r>
          </w:p>
        </w:tc>
        <w:tc>
          <w:tcPr>
            <w:tcW w:type="dxa" w:w="3389"/>
            <w:vAlign w:val="top"/>
            <w:tcMar>
              <w:top w:w="80" w:type="dxa"/>
              <w:start w:w="90" w:type="dxa"/>
              <w:bottom w:w="80" w:type="dxa"/>
              <w:end w:w="90" w:type="dxa"/>
            </w:tcMar>
          </w:tcPr>
          <w:p>
            <w:r>
              <w:rPr>
                <w:color w:val="111827"/>
                <w:sz w:val="18"/>
              </w:rPr>
              <w:t>Wallets, DEXs, fintechs</w:t>
            </w:r>
          </w:p>
        </w:tc>
        <w:tc>
          <w:tcPr>
            <w:tcW w:type="dxa" w:w="3389"/>
            <w:vAlign w:val="top"/>
            <w:tcMar>
              <w:top w:w="80" w:type="dxa"/>
              <w:start w:w="90" w:type="dxa"/>
              <w:bottom w:w="80" w:type="dxa"/>
              <w:end w:w="90" w:type="dxa"/>
            </w:tcMar>
          </w:tcPr>
          <w:p>
            <w:r>
              <w:rPr>
                <w:color w:val="111827"/>
                <w:sz w:val="18"/>
              </w:rPr>
              <w:t>Consultas / decisiones de riesgo / volumen.</w:t>
            </w:r>
          </w:p>
        </w:tc>
      </w:tr>
      <w:tr>
        <w:tc>
          <w:tcPr>
            <w:tcW w:type="dxa" w:w="3389"/>
            <w:vAlign w:val="top"/>
            <w:tcMar>
              <w:top w:w="80" w:type="dxa"/>
              <w:start w:w="90" w:type="dxa"/>
              <w:bottom w:w="80" w:type="dxa"/>
              <w:end w:w="90" w:type="dxa"/>
            </w:tcMar>
          </w:tcPr>
          <w:p>
            <w:r>
              <w:rPr>
                <w:color w:val="111827"/>
                <w:sz w:val="18"/>
              </w:rPr>
              <w:t>Enterprise</w:t>
            </w:r>
          </w:p>
        </w:tc>
        <w:tc>
          <w:tcPr>
            <w:tcW w:type="dxa" w:w="3389"/>
            <w:vAlign w:val="top"/>
            <w:tcMar>
              <w:top w:w="80" w:type="dxa"/>
              <w:start w:w="90" w:type="dxa"/>
              <w:bottom w:w="80" w:type="dxa"/>
              <w:end w:w="90" w:type="dxa"/>
            </w:tcMar>
          </w:tcPr>
          <w:p>
            <w:r>
              <w:rPr>
                <w:color w:val="111827"/>
                <w:sz w:val="18"/>
              </w:rPr>
              <w:t>Brokers, instituciones, issuers</w:t>
            </w:r>
          </w:p>
        </w:tc>
        <w:tc>
          <w:tcPr>
            <w:tcW w:type="dxa" w:w="3389"/>
            <w:vAlign w:val="top"/>
            <w:tcMar>
              <w:top w:w="80" w:type="dxa"/>
              <w:start w:w="90" w:type="dxa"/>
              <w:bottom w:w="80" w:type="dxa"/>
              <w:end w:w="90" w:type="dxa"/>
            </w:tcMar>
          </w:tcPr>
          <w:p>
            <w:r>
              <w:rPr>
                <w:color w:val="111827"/>
                <w:sz w:val="18"/>
              </w:rPr>
              <w:t>Licencia + SLA + políticas privadas.</w:t>
            </w:r>
          </w:p>
        </w:tc>
      </w:tr>
      <w:tr>
        <w:tc>
          <w:tcPr>
            <w:tcW w:type="dxa" w:w="3389"/>
            <w:vAlign w:val="top"/>
            <w:tcMar>
              <w:top w:w="80" w:type="dxa"/>
              <w:start w:w="90" w:type="dxa"/>
              <w:bottom w:w="80" w:type="dxa"/>
              <w:end w:w="90" w:type="dxa"/>
            </w:tcMar>
          </w:tcPr>
          <w:p>
            <w:r>
              <w:rPr>
                <w:color w:val="111827"/>
                <w:sz w:val="18"/>
              </w:rPr>
              <w:t>White-label</w:t>
            </w:r>
          </w:p>
        </w:tc>
        <w:tc>
          <w:tcPr>
            <w:tcW w:type="dxa" w:w="3389"/>
            <w:vAlign w:val="top"/>
            <w:tcMar>
              <w:top w:w="80" w:type="dxa"/>
              <w:start w:w="90" w:type="dxa"/>
              <w:bottom w:w="80" w:type="dxa"/>
              <w:end w:w="90" w:type="dxa"/>
            </w:tcMar>
          </w:tcPr>
          <w:p>
            <w:r>
              <w:rPr>
                <w:color w:val="111827"/>
                <w:sz w:val="18"/>
              </w:rPr>
              <w:t>Plataformas RWA</w:t>
            </w:r>
          </w:p>
        </w:tc>
        <w:tc>
          <w:tcPr>
            <w:tcW w:type="dxa" w:w="3389"/>
            <w:vAlign w:val="top"/>
            <w:tcMar>
              <w:top w:w="80" w:type="dxa"/>
              <w:start w:w="90" w:type="dxa"/>
              <w:bottom w:w="80" w:type="dxa"/>
              <w:end w:w="90" w:type="dxa"/>
            </w:tcMar>
          </w:tcPr>
          <w:p>
            <w:r>
              <w:rPr>
                <w:color w:val="111827"/>
                <w:sz w:val="18"/>
              </w:rPr>
              <w:t>UI y motor embebidos con branding propio.</w:t>
            </w:r>
          </w:p>
        </w:tc>
      </w:tr>
      <w:tr>
        <w:tc>
          <w:tcPr>
            <w:tcW w:type="dxa" w:w="3389"/>
            <w:vAlign w:val="top"/>
            <w:tcMar>
              <w:top w:w="80" w:type="dxa"/>
              <w:start w:w="90" w:type="dxa"/>
              <w:bottom w:w="80" w:type="dxa"/>
              <w:end w:w="90" w:type="dxa"/>
            </w:tcMar>
          </w:tcPr>
          <w:p>
            <w:r>
              <w:rPr>
                <w:color w:val="111827"/>
                <w:sz w:val="18"/>
              </w:rPr>
              <w:t>Risk Feed</w:t>
            </w:r>
          </w:p>
        </w:tc>
        <w:tc>
          <w:tcPr>
            <w:tcW w:type="dxa" w:w="3389"/>
            <w:vAlign w:val="top"/>
            <w:tcMar>
              <w:top w:w="80" w:type="dxa"/>
              <w:start w:w="90" w:type="dxa"/>
              <w:bottom w:w="80" w:type="dxa"/>
              <w:end w:w="90" w:type="dxa"/>
            </w:tcMar>
          </w:tcPr>
          <w:p>
            <w:r>
              <w:rPr>
                <w:color w:val="111827"/>
                <w:sz w:val="18"/>
              </w:rPr>
              <w:t>Market makers y operadores</w:t>
            </w:r>
          </w:p>
        </w:tc>
        <w:tc>
          <w:tcPr>
            <w:tcW w:type="dxa" w:w="3389"/>
            <w:vAlign w:val="top"/>
            <w:tcMar>
              <w:top w:w="80" w:type="dxa"/>
              <w:start w:w="90" w:type="dxa"/>
              <w:bottom w:w="80" w:type="dxa"/>
              <w:end w:w="90" w:type="dxa"/>
            </w:tcMar>
          </w:tcPr>
          <w:p>
            <w:r>
              <w:rPr>
                <w:color w:val="111827"/>
                <w:sz w:val="18"/>
              </w:rPr>
              <w:t>Streaming de scores, alerts y pool health.</w:t>
            </w:r>
          </w:p>
        </w:tc>
      </w:tr>
      <w:tr>
        <w:tc>
          <w:tcPr>
            <w:tcW w:type="dxa" w:w="3389"/>
            <w:vAlign w:val="top"/>
            <w:tcMar>
              <w:top w:w="80" w:type="dxa"/>
              <w:start w:w="90" w:type="dxa"/>
              <w:bottom w:w="80" w:type="dxa"/>
              <w:end w:w="90" w:type="dxa"/>
            </w:tcMar>
          </w:tcPr>
          <w:p>
            <w:r>
              <w:rPr>
                <w:color w:val="111827"/>
                <w:sz w:val="18"/>
              </w:rPr>
              <w:t>Forensic Investigation</w:t>
            </w:r>
          </w:p>
        </w:tc>
        <w:tc>
          <w:tcPr>
            <w:tcW w:type="dxa" w:w="3389"/>
            <w:vAlign w:val="top"/>
            <w:tcMar>
              <w:top w:w="80" w:type="dxa"/>
              <w:start w:w="90" w:type="dxa"/>
              <w:bottom w:w="80" w:type="dxa"/>
              <w:end w:w="90" w:type="dxa"/>
            </w:tcMar>
          </w:tcPr>
          <w:p>
            <w:r>
              <w:rPr>
                <w:color w:val="111827"/>
                <w:sz w:val="18"/>
              </w:rPr>
              <w:t>Compliance y seguridad</w:t>
            </w:r>
          </w:p>
        </w:tc>
        <w:tc>
          <w:tcPr>
            <w:tcW w:type="dxa" w:w="3389"/>
            <w:vAlign w:val="top"/>
            <w:tcMar>
              <w:top w:w="80" w:type="dxa"/>
              <w:start w:w="90" w:type="dxa"/>
              <w:bottom w:w="80" w:type="dxa"/>
              <w:end w:w="90" w:type="dxa"/>
            </w:tcMar>
          </w:tcPr>
          <w:p>
            <w:r>
              <w:rPr>
                <w:color w:val="111827"/>
                <w:sz w:val="18"/>
              </w:rPr>
              <w:t>Casos, grafos y evidencia avanzada.</w:t>
            </w:r>
          </w:p>
        </w:tc>
      </w:tr>
    </w:tbl>
    <w:p/>
    <w:p>
      <w:pPr>
        <w:pStyle w:val="Heading1"/>
      </w:pPr>
      <w:r>
        <w:t>18. Conclusión</w:t>
      </w:r>
    </w:p>
    <w:p>
      <w:r>
        <w:t>StockShield convierte la seguridad blockchain en una decisión de mercado accionable. Verifica qué representa el activo, si su precio es coherente, si el oráculo es confiable, si el pool puede ejecutar la orden, si las wallets implicadas presentan exposición de riesgo y si la ruta es segura. El resultado no es un informe posterior: es una política aplicada antes de firmar.</w:t>
      </w:r>
    </w:p>
    <w:p>
      <w:pPr>
        <w:jc w:val="center"/>
      </w:pPr>
      <w:r>
        <w:rPr>
          <w:b/>
          <w:color w:val="6D5EF7"/>
          <w:sz w:val="28"/>
        </w:rPr>
        <w:t>Tokenizar un activo no tokeniza la confianza que lo rodea. StockShield verifica esa confianza antes de la firma.</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5"/>
        <w:sz w:val="16"/>
      </w:rPr>
      <w:t>StockShield — Especificación Completa del Sistema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D5EF7"/>
        <w:sz w:val="16"/>
      </w:rPr>
      <w:t>NoRug.es  •  SWAT  •  StockShield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102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6D5EF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5D0C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