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D5EF7"/>
          <w:sz w:val="30"/>
        </w:rPr>
        <w:t>SWAT</w:t>
      </w:r>
      <w:r>
        <w:rPr>
          <w:b/>
          <w:color w:val="25D0C8"/>
          <w:sz w:val="30"/>
        </w:rPr>
        <w:t xml:space="preserve">  STOCKSHIELD</w:t>
      </w:r>
    </w:p>
    <w:p>
      <w:r>
        <w:br/>
      </w:r>
    </w:p>
    <w:p>
      <w:pPr>
        <w:jc w:val="center"/>
      </w:pPr>
      <w:r>
        <w:rPr>
          <w:rFonts w:ascii="Aptos Display" w:hAnsi="Aptos Display"/>
          <w:b/>
          <w:color w:val="0B1020"/>
          <w:sz w:val="60"/>
        </w:rPr>
        <w:t>StockShield</w:t>
      </w:r>
    </w:p>
    <w:p>
      <w:pPr>
        <w:jc w:val="center"/>
      </w:pPr>
      <w:r>
        <w:rPr>
          <w:b/>
          <w:color w:val="6D5EF7"/>
          <w:sz w:val="28"/>
        </w:rPr>
        <w:t>Full System Specification</w:t>
      </w:r>
    </w:p>
    <w:p>
      <w:pPr>
        <w:jc w:val="center"/>
      </w:pPr>
      <w:r>
        <w:rPr>
          <w:i/>
          <w:color w:val="5B6475"/>
          <w:sz w:val="26"/>
        </w:rPr>
        <w:t>The security, price-integrity and execution layer for tokenized assets on Solana.</w:t>
      </w:r>
    </w:p>
    <w:p>
      <w:r>
        <w:br/>
      </w:r>
    </w:p>
    <w:tbl>
      <w:tblPr>
        <w:tblW w:type="auto" w:w="0"/>
        <w:jc w:val="center"/>
        <w:tblLook w:firstColumn="1" w:firstRow="1" w:lastColumn="0" w:lastRow="0" w:noHBand="0" w:noVBand="1" w:val="04A0"/>
      </w:tblPr>
      <w:tblGrid>
        <w:gridCol w:w="3389"/>
        <w:gridCol w:w="3389"/>
        <w:gridCol w:w="3389"/>
      </w:tblGrid>
      <w:tr>
        <w:tc>
          <w:tcPr>
            <w:tcW w:type="dxa" w:w="3389"/>
            <w:shd w:fill="F3F5FA"/>
            <w:tcMar>
              <w:top w:w="150" w:type="dxa"/>
              <w:start w:w="150" w:type="dxa"/>
              <w:bottom w:w="150" w:type="dxa"/>
              <w:end w:w="150" w:type="dxa"/>
            </w:tcMar>
          </w:tcPr>
          <w:p>
            <w:pPr>
              <w:jc w:val="center"/>
            </w:pPr>
            <w:r>
              <w:rPr>
                <w:b/>
                <w:sz w:val="19"/>
              </w:rPr>
              <w:t>Version</w:t>
              <w:br/>
              <w:t>1.0 — Stocklana 2026</w:t>
            </w:r>
          </w:p>
        </w:tc>
        <w:tc>
          <w:tcPr>
            <w:tcW w:type="dxa" w:w="3389"/>
            <w:shd w:fill="F3F5FA"/>
            <w:tcMar>
              <w:top w:w="150" w:type="dxa"/>
              <w:start w:w="150" w:type="dxa"/>
              <w:bottom w:w="150" w:type="dxa"/>
              <w:end w:w="150" w:type="dxa"/>
            </w:tcMar>
          </w:tcPr>
          <w:p>
            <w:pPr>
              <w:jc w:val="center"/>
            </w:pPr>
            <w:r>
              <w:rPr>
                <w:b/>
                <w:sz w:val="19"/>
              </w:rPr>
              <w:t>Scope</w:t>
              <w:br/>
              <w:t>Producto Completo</w:t>
            </w:r>
          </w:p>
        </w:tc>
        <w:tc>
          <w:tcPr>
            <w:tcW w:type="dxa" w:w="3389"/>
            <w:shd w:fill="F3F5FA"/>
            <w:tcMar>
              <w:top w:w="150" w:type="dxa"/>
              <w:start w:w="150" w:type="dxa"/>
              <w:bottom w:w="150" w:type="dxa"/>
              <w:end w:w="150" w:type="dxa"/>
            </w:tcMar>
          </w:tcPr>
          <w:p>
            <w:pPr>
              <w:jc w:val="center"/>
            </w:pPr>
            <w:r>
              <w:rPr>
                <w:b/>
                <w:sz w:val="19"/>
              </w:rPr>
              <w:t>Status</w:t>
              <w:br/>
              <w:t>Consolidado</w:t>
            </w:r>
          </w:p>
        </w:tc>
      </w:tr>
    </w:tbl>
    <w:p>
      <w:r>
        <w:br/>
        <w:br/>
      </w:r>
    </w:p>
    <w:p>
      <w:pPr>
        <w:jc w:val="center"/>
      </w:pPr>
      <w:r>
        <w:rPr>
          <w:i/>
          <w:color w:val="5B6475"/>
          <w:sz w:val="17"/>
        </w:rPr>
        <w:t>Consolidated product document. It describes StockShield as a complete platform for presentation, integration and technical evaluation; it is not a substitute for an independent audit or production deployment certification.</w:t>
      </w:r>
    </w:p>
    <w:p>
      <w:r>
        <w:br w:type="page"/>
      </w:r>
    </w:p>
    <w:p>
      <w:pPr>
        <w:pStyle w:val="Heading1"/>
      </w:pPr>
      <w:r>
        <w:t>1. Executive summary</w:t>
      </w:r>
    </w:p>
    <w:p>
      <w:r>
        <w:t>StockShield is a pre-trade intelligence and execution-control platform for tokenized equities and assets on Solana. Its core purpose is to reduce uncertainty before a wallet, trader, broker, DEX or institutional desk signs a transaction.</w:t>
      </w:r>
    </w:p>
    <w:p>
      <w:r>
        <w:t>The system combines market data, oracle quality, liquidity, wallet provenance, on-chain threats, contract integrity and pool behavior into one explainable operating decision: ALLOW, WARN or BLOCK. The decision can be consumed through the UI, API or execution middleware and can be anchored on Solana as verifiable evidence.</w:t>
      </w:r>
    </w:p>
    <w:p>
      <w:pPr>
        <w:pStyle w:val="ListBullet"/>
      </w:pPr>
      <w:r>
        <w:t>Detects divergence between a reference asset and its tokenized representation.</w:t>
      </w:r>
    </w:p>
    <w:p>
      <w:pPr>
        <w:pStyle w:val="ListBullet"/>
      </w:pPr>
      <w:r>
        <w:t>Validates oracle freshness, confidence and market session.</w:t>
      </w:r>
    </w:p>
    <w:p>
      <w:pPr>
        <w:pStyle w:val="ListBullet"/>
      </w:pPr>
      <w:r>
        <w:t>Evaluates depth, slippage, liquidity concentration and abnormal pool conditions.</w:t>
      </w:r>
    </w:p>
    <w:p>
      <w:pPr>
        <w:pStyle w:val="ListBullet"/>
      </w:pPr>
      <w:r>
        <w:t>Integrates SWAT intelligence for wallets, contracts, tainted exposure and threat analysis.</w:t>
      </w:r>
    </w:p>
    <w:p>
      <w:pPr>
        <w:pStyle w:val="ListBullet"/>
      </w:pPr>
      <w:r>
        <w:t>Applies automated execution policy before transaction signing.</w:t>
      </w:r>
    </w:p>
    <w:p>
      <w:pPr>
        <w:pStyle w:val="ListBullet"/>
      </w:pPr>
      <w:r>
        <w:t>Adjusts liquidity behavior through a Risk-Adaptive Meteora DBC controller.</w:t>
      </w:r>
    </w:p>
    <w:p>
      <w:pPr>
        <w:pStyle w:val="ListBullet"/>
      </w:pPr>
      <w:r>
        <w:t>Records risk evidence and decisions on Solana for auditability.</w:t>
      </w:r>
    </w:p>
    <w:p>
      <w:pPr>
        <w:pStyle w:val="ListBullet"/>
      </w:pPr>
      <w:r>
        <w:t>Provides ATTACK MODE to demonstrate controlled reactions to price manipulation, wallet risk and degraded market conditions.</w:t>
      </w:r>
    </w:p>
    <w:p>
      <w:pPr>
        <w:pStyle w:val="Heading1"/>
      </w:pPr>
      <w:r>
        <w:t>2. Problem addressed</w:t>
      </w:r>
    </w:p>
    <w:p>
      <w:r>
        <w:t>Tokenization increases market access, but it also creates new trust surfaces. The user no longer relies only on a broker and exchange; they also rely on a token, issuer or SPV, custody of the underlying asset, an oracle, liquidity pools, market makers, smart contracts, related wallets and the execution route.</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shd w:fill="0B1020"/>
            <w:vAlign w:val="center"/>
          </w:tcPr>
          <w:p>
            <w:r>
              <w:rPr>
                <w:b/>
                <w:color w:val="FFFFFF"/>
                <w:sz w:val="19"/>
              </w:rPr>
              <w:t>Surface</w:t>
            </w:r>
          </w:p>
        </w:tc>
        <w:tc>
          <w:tcPr>
            <w:tcW w:type="dxa" w:w="3389"/>
            <w:shd w:fill="0B1020"/>
            <w:vAlign w:val="center"/>
          </w:tcPr>
          <w:p>
            <w:r>
              <w:rPr>
                <w:b/>
                <w:color w:val="FFFFFF"/>
                <w:sz w:val="19"/>
              </w:rPr>
              <w:t>Risk</w:t>
            </w:r>
          </w:p>
        </w:tc>
        <w:tc>
          <w:tcPr>
            <w:tcW w:type="dxa" w:w="3389"/>
            <w:shd w:fill="0B1020"/>
            <w:vAlign w:val="center"/>
          </w:tcPr>
          <w:p>
            <w:r>
              <w:rPr>
                <w:b/>
                <w:color w:val="FFFFFF"/>
                <w:sz w:val="19"/>
              </w:rPr>
              <w:t>StockShield control</w:t>
            </w:r>
          </w:p>
        </w:tc>
      </w:tr>
      <w:tr>
        <w:tc>
          <w:tcPr>
            <w:tcW w:type="dxa" w:w="3389"/>
            <w:vAlign w:val="top"/>
            <w:tcMar>
              <w:top w:w="80" w:type="dxa"/>
              <w:start w:w="90" w:type="dxa"/>
              <w:bottom w:w="80" w:type="dxa"/>
              <w:end w:w="90" w:type="dxa"/>
            </w:tcMar>
          </w:tcPr>
          <w:p>
            <w:r>
              <w:rPr>
                <w:color w:val="111827"/>
                <w:sz w:val="18"/>
              </w:rPr>
              <w:t>Token representation</w:t>
            </w:r>
          </w:p>
        </w:tc>
        <w:tc>
          <w:tcPr>
            <w:tcW w:type="dxa" w:w="3389"/>
            <w:vAlign w:val="top"/>
            <w:tcMar>
              <w:top w:w="80" w:type="dxa"/>
              <w:start w:w="90" w:type="dxa"/>
              <w:bottom w:w="80" w:type="dxa"/>
              <w:end w:w="90" w:type="dxa"/>
            </w:tcMar>
          </w:tcPr>
          <w:p>
            <w:r>
              <w:rPr>
                <w:color w:val="111827"/>
                <w:sz w:val="18"/>
              </w:rPr>
              <w:t>Decoupling from the underlying/reference asset</w:t>
            </w:r>
          </w:p>
        </w:tc>
        <w:tc>
          <w:tcPr>
            <w:tcW w:type="dxa" w:w="3389"/>
            <w:vAlign w:val="top"/>
            <w:tcMar>
              <w:top w:w="80" w:type="dxa"/>
              <w:start w:w="90" w:type="dxa"/>
              <w:bottom w:w="80" w:type="dxa"/>
              <w:end w:w="90" w:type="dxa"/>
            </w:tcMar>
          </w:tcPr>
          <w:p>
            <w:r>
              <w:rPr>
                <w:color w:val="111827"/>
                <w:sz w:val="18"/>
              </w:rPr>
              <w:t>Price Integrity Engine + Pyth</w:t>
            </w:r>
          </w:p>
        </w:tc>
      </w:tr>
      <w:tr>
        <w:tc>
          <w:tcPr>
            <w:tcW w:type="dxa" w:w="3389"/>
            <w:vAlign w:val="top"/>
            <w:tcMar>
              <w:top w:w="80" w:type="dxa"/>
              <w:start w:w="90" w:type="dxa"/>
              <w:bottom w:w="80" w:type="dxa"/>
              <w:end w:w="90" w:type="dxa"/>
            </w:tcMar>
          </w:tcPr>
          <w:p>
            <w:r>
              <w:rPr>
                <w:color w:val="111827"/>
                <w:sz w:val="18"/>
              </w:rPr>
              <w:t>Oracle</w:t>
            </w:r>
          </w:p>
        </w:tc>
        <w:tc>
          <w:tcPr>
            <w:tcW w:type="dxa" w:w="3389"/>
            <w:vAlign w:val="top"/>
            <w:tcMar>
              <w:top w:w="80" w:type="dxa"/>
              <w:start w:w="90" w:type="dxa"/>
              <w:bottom w:w="80" w:type="dxa"/>
              <w:end w:w="90" w:type="dxa"/>
            </w:tcMar>
          </w:tcPr>
          <w:p>
            <w:r>
              <w:rPr>
                <w:color w:val="111827"/>
                <w:sz w:val="18"/>
              </w:rPr>
              <w:t>Stale data, low confidence or wrong market session</w:t>
            </w:r>
          </w:p>
        </w:tc>
        <w:tc>
          <w:tcPr>
            <w:tcW w:type="dxa" w:w="3389"/>
            <w:vAlign w:val="top"/>
            <w:tcMar>
              <w:top w:w="80" w:type="dxa"/>
              <w:start w:w="90" w:type="dxa"/>
              <w:bottom w:w="80" w:type="dxa"/>
              <w:end w:w="90" w:type="dxa"/>
            </w:tcMar>
          </w:tcPr>
          <w:p>
            <w:r>
              <w:rPr>
                <w:color w:val="111827"/>
                <w:sz w:val="18"/>
              </w:rPr>
              <w:t>Oracle Health Gate</w:t>
            </w:r>
          </w:p>
        </w:tc>
      </w:tr>
      <w:tr>
        <w:tc>
          <w:tcPr>
            <w:tcW w:type="dxa" w:w="3389"/>
            <w:vAlign w:val="top"/>
            <w:tcMar>
              <w:top w:w="80" w:type="dxa"/>
              <w:start w:w="90" w:type="dxa"/>
              <w:bottom w:w="80" w:type="dxa"/>
              <w:end w:w="90" w:type="dxa"/>
            </w:tcMar>
          </w:tcPr>
          <w:p>
            <w:r>
              <w:rPr>
                <w:color w:val="111827"/>
                <w:sz w:val="18"/>
              </w:rPr>
              <w:t>Liquidity</w:t>
            </w:r>
          </w:p>
        </w:tc>
        <w:tc>
          <w:tcPr>
            <w:tcW w:type="dxa" w:w="3389"/>
            <w:vAlign w:val="top"/>
            <w:tcMar>
              <w:top w:w="80" w:type="dxa"/>
              <w:start w:w="90" w:type="dxa"/>
              <w:bottom w:w="80" w:type="dxa"/>
              <w:end w:w="90" w:type="dxa"/>
            </w:tcMar>
          </w:tcPr>
          <w:p>
            <w:r>
              <w:rPr>
                <w:color w:val="111827"/>
                <w:sz w:val="18"/>
              </w:rPr>
              <w:t>Extreme slippage, concentration or manipulation</w:t>
            </w:r>
          </w:p>
        </w:tc>
        <w:tc>
          <w:tcPr>
            <w:tcW w:type="dxa" w:w="3389"/>
            <w:vAlign w:val="top"/>
            <w:tcMar>
              <w:top w:w="80" w:type="dxa"/>
              <w:start w:w="90" w:type="dxa"/>
              <w:bottom w:w="80" w:type="dxa"/>
              <w:end w:w="90" w:type="dxa"/>
            </w:tcMar>
          </w:tcPr>
          <w:p>
            <w:r>
              <w:rPr>
                <w:color w:val="111827"/>
                <w:sz w:val="18"/>
              </w:rPr>
              <w:t>Liquidity &amp; Pool Intelligence</w:t>
            </w:r>
          </w:p>
        </w:tc>
      </w:tr>
      <w:tr>
        <w:tc>
          <w:tcPr>
            <w:tcW w:type="dxa" w:w="3389"/>
            <w:vAlign w:val="top"/>
            <w:tcMar>
              <w:top w:w="80" w:type="dxa"/>
              <w:start w:w="90" w:type="dxa"/>
              <w:bottom w:w="80" w:type="dxa"/>
              <w:end w:w="90" w:type="dxa"/>
            </w:tcMar>
          </w:tcPr>
          <w:p>
            <w:r>
              <w:rPr>
                <w:color w:val="111827"/>
                <w:sz w:val="18"/>
              </w:rPr>
              <w:t>Wallets</w:t>
            </w:r>
          </w:p>
        </w:tc>
        <w:tc>
          <w:tcPr>
            <w:tcW w:type="dxa" w:w="3389"/>
            <w:vAlign w:val="top"/>
            <w:tcMar>
              <w:top w:w="80" w:type="dxa"/>
              <w:start w:w="90" w:type="dxa"/>
              <w:bottom w:w="80" w:type="dxa"/>
              <w:end w:w="90" w:type="dxa"/>
            </w:tcMar>
          </w:tcPr>
          <w:p>
            <w:r>
              <w:rPr>
                <w:color w:val="111827"/>
                <w:sz w:val="18"/>
              </w:rPr>
              <w:t>Exposure to tainted funds or suspicious actors</w:t>
            </w:r>
          </w:p>
        </w:tc>
        <w:tc>
          <w:tcPr>
            <w:tcW w:type="dxa" w:w="3389"/>
            <w:vAlign w:val="top"/>
            <w:tcMar>
              <w:top w:w="80" w:type="dxa"/>
              <w:start w:w="90" w:type="dxa"/>
              <w:bottom w:w="80" w:type="dxa"/>
              <w:end w:w="90" w:type="dxa"/>
            </w:tcMar>
          </w:tcPr>
          <w:p>
            <w:r>
              <w:rPr>
                <w:color w:val="111827"/>
                <w:sz w:val="18"/>
              </w:rPr>
              <w:t>SWAT Wallet Provenance</w:t>
            </w:r>
          </w:p>
        </w:tc>
      </w:tr>
      <w:tr>
        <w:tc>
          <w:tcPr>
            <w:tcW w:type="dxa" w:w="3389"/>
            <w:vAlign w:val="top"/>
            <w:tcMar>
              <w:top w:w="80" w:type="dxa"/>
              <w:start w:w="90" w:type="dxa"/>
              <w:bottom w:w="80" w:type="dxa"/>
              <w:end w:w="90" w:type="dxa"/>
            </w:tcMar>
          </w:tcPr>
          <w:p>
            <w:r>
              <w:rPr>
                <w:color w:val="111827"/>
                <w:sz w:val="18"/>
              </w:rPr>
              <w:t>Smart contracts</w:t>
            </w:r>
          </w:p>
        </w:tc>
        <w:tc>
          <w:tcPr>
            <w:tcW w:type="dxa" w:w="3389"/>
            <w:vAlign w:val="top"/>
            <w:tcMar>
              <w:top w:w="80" w:type="dxa"/>
              <w:start w:w="90" w:type="dxa"/>
              <w:bottom w:w="80" w:type="dxa"/>
              <w:end w:w="90" w:type="dxa"/>
            </w:tcMar>
          </w:tcPr>
          <w:p>
            <w:r>
              <w:rPr>
                <w:color w:val="111827"/>
                <w:sz w:val="18"/>
              </w:rPr>
              <w:t>Technical risk or unexpected behavior</w:t>
            </w:r>
          </w:p>
        </w:tc>
        <w:tc>
          <w:tcPr>
            <w:tcW w:type="dxa" w:w="3389"/>
            <w:vAlign w:val="top"/>
            <w:tcMar>
              <w:top w:w="80" w:type="dxa"/>
              <w:start w:w="90" w:type="dxa"/>
              <w:bottom w:w="80" w:type="dxa"/>
              <w:end w:w="90" w:type="dxa"/>
            </w:tcMar>
          </w:tcPr>
          <w:p>
            <w:r>
              <w:rPr>
                <w:color w:val="111827"/>
                <w:sz w:val="18"/>
              </w:rPr>
              <w:t>SWAT Contract Intelligence</w:t>
            </w:r>
          </w:p>
        </w:tc>
      </w:tr>
      <w:tr>
        <w:tc>
          <w:tcPr>
            <w:tcW w:type="dxa" w:w="3389"/>
            <w:vAlign w:val="top"/>
            <w:tcMar>
              <w:top w:w="80" w:type="dxa"/>
              <w:start w:w="90" w:type="dxa"/>
              <w:bottom w:w="80" w:type="dxa"/>
              <w:end w:w="90" w:type="dxa"/>
            </w:tcMar>
          </w:tcPr>
          <w:p>
            <w:r>
              <w:rPr>
                <w:color w:val="111827"/>
                <w:sz w:val="18"/>
              </w:rPr>
              <w:t>Execution route</w:t>
            </w:r>
          </w:p>
        </w:tc>
        <w:tc>
          <w:tcPr>
            <w:tcW w:type="dxa" w:w="3389"/>
            <w:vAlign w:val="top"/>
            <w:tcMar>
              <w:top w:w="80" w:type="dxa"/>
              <w:start w:w="90" w:type="dxa"/>
              <w:bottom w:w="80" w:type="dxa"/>
              <w:end w:w="90" w:type="dxa"/>
            </w:tcMar>
          </w:tcPr>
          <w:p>
            <w:r>
              <w:rPr>
                <w:color w:val="111827"/>
                <w:sz w:val="18"/>
              </w:rPr>
              <w:t>MEV, sandwich or adverse execution</w:t>
            </w:r>
          </w:p>
        </w:tc>
        <w:tc>
          <w:tcPr>
            <w:tcW w:type="dxa" w:w="3389"/>
            <w:vAlign w:val="top"/>
            <w:tcMar>
              <w:top w:w="80" w:type="dxa"/>
              <w:start w:w="90" w:type="dxa"/>
              <w:bottom w:w="80" w:type="dxa"/>
              <w:end w:w="90" w:type="dxa"/>
            </w:tcMar>
          </w:tcPr>
          <w:p>
            <w:r>
              <w:rPr>
                <w:color w:val="111827"/>
                <w:sz w:val="18"/>
              </w:rPr>
              <w:t>Execution Safety Engine</w:t>
            </w:r>
          </w:p>
        </w:tc>
      </w:tr>
      <w:tr>
        <w:tc>
          <w:tcPr>
            <w:tcW w:type="dxa" w:w="3389"/>
            <w:vAlign w:val="top"/>
            <w:tcMar>
              <w:top w:w="80" w:type="dxa"/>
              <w:start w:w="90" w:type="dxa"/>
              <w:bottom w:w="80" w:type="dxa"/>
              <w:end w:w="90" w:type="dxa"/>
            </w:tcMar>
          </w:tcPr>
          <w:p>
            <w:r>
              <w:rPr>
                <w:color w:val="111827"/>
                <w:sz w:val="18"/>
              </w:rPr>
              <w:t>Dynamic market</w:t>
            </w:r>
          </w:p>
        </w:tc>
        <w:tc>
          <w:tcPr>
            <w:tcW w:type="dxa" w:w="3389"/>
            <w:vAlign w:val="top"/>
            <w:tcMar>
              <w:top w:w="80" w:type="dxa"/>
              <w:start w:w="90" w:type="dxa"/>
              <w:bottom w:w="80" w:type="dxa"/>
              <w:end w:w="90" w:type="dxa"/>
            </w:tcMar>
          </w:tcPr>
          <w:p>
            <w:r>
              <w:rPr>
                <w:color w:val="111827"/>
                <w:sz w:val="18"/>
              </w:rPr>
              <w:t>Fees/curves that do not reflect current risk</w:t>
            </w:r>
          </w:p>
        </w:tc>
        <w:tc>
          <w:tcPr>
            <w:tcW w:type="dxa" w:w="3389"/>
            <w:vAlign w:val="top"/>
            <w:tcMar>
              <w:top w:w="80" w:type="dxa"/>
              <w:start w:w="90" w:type="dxa"/>
              <w:bottom w:w="80" w:type="dxa"/>
              <w:end w:w="90" w:type="dxa"/>
            </w:tcMar>
          </w:tcPr>
          <w:p>
            <w:r>
              <w:rPr>
                <w:color w:val="111827"/>
                <w:sz w:val="18"/>
              </w:rPr>
              <w:t>Risk-Adaptive Meteora DBC</w:t>
            </w:r>
          </w:p>
        </w:tc>
      </w:tr>
    </w:tbl>
    <w:p/>
    <w:p>
      <w:pPr>
        <w:pStyle w:val="Heading1"/>
      </w:pPr>
      <w:r>
        <w:t>3. Value proposition</w:t>
      </w:r>
    </w:p>
    <w:p>
      <w:r>
        <w:t>StockShield is not another tokenized-equity dashboard. It is a decision layer placed immediately before signing. It transforms complex technical signals into an enforceable policy that determines when an operation can proceed, when it needs a warning and when it must be blocked.</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shd w:fill="0B1020"/>
            <w:vAlign w:val="center"/>
          </w:tcPr>
          <w:p>
            <w:r>
              <w:rPr>
                <w:b/>
                <w:color w:val="FFFFFF"/>
                <w:sz w:val="19"/>
              </w:rPr>
              <w:t>Actor</w:t>
            </w:r>
          </w:p>
        </w:tc>
        <w:tc>
          <w:tcPr>
            <w:tcW w:type="dxa" w:w="5083"/>
            <w:shd w:fill="0B1020"/>
            <w:vAlign w:val="center"/>
          </w:tcPr>
          <w:p>
            <w:r>
              <w:rPr>
                <w:b/>
                <w:color w:val="FFFFFF"/>
                <w:sz w:val="19"/>
              </w:rPr>
              <w:t>Value delivered</w:t>
            </w:r>
          </w:p>
        </w:tc>
      </w:tr>
      <w:tr>
        <w:tc>
          <w:tcPr>
            <w:tcW w:type="dxa" w:w="5083"/>
            <w:vAlign w:val="top"/>
            <w:tcMar>
              <w:top w:w="80" w:type="dxa"/>
              <w:start w:w="90" w:type="dxa"/>
              <w:bottom w:w="80" w:type="dxa"/>
              <w:end w:w="90" w:type="dxa"/>
            </w:tcMar>
          </w:tcPr>
          <w:p>
            <w:r>
              <w:rPr>
                <w:color w:val="111827"/>
                <w:sz w:val="18"/>
              </w:rPr>
              <w:t>User / trader</w:t>
            </w:r>
          </w:p>
        </w:tc>
        <w:tc>
          <w:tcPr>
            <w:tcW w:type="dxa" w:w="5083"/>
            <w:vAlign w:val="top"/>
            <w:tcMar>
              <w:top w:w="80" w:type="dxa"/>
              <w:start w:w="90" w:type="dxa"/>
              <w:bottom w:w="80" w:type="dxa"/>
              <w:end w:w="90" w:type="dxa"/>
            </w:tcMar>
          </w:tcPr>
          <w:p>
            <w:r>
              <w:rPr>
                <w:color w:val="111827"/>
                <w:sz w:val="18"/>
              </w:rPr>
              <w:t>Understands real execution risk before signing and avoids degraded conditions.</w:t>
            </w:r>
          </w:p>
        </w:tc>
      </w:tr>
      <w:tr>
        <w:tc>
          <w:tcPr>
            <w:tcW w:type="dxa" w:w="5083"/>
            <w:vAlign w:val="top"/>
            <w:tcMar>
              <w:top w:w="80" w:type="dxa"/>
              <w:start w:w="90" w:type="dxa"/>
              <w:bottom w:w="80" w:type="dxa"/>
              <w:end w:w="90" w:type="dxa"/>
            </w:tcMar>
          </w:tcPr>
          <w:p>
            <w:r>
              <w:rPr>
                <w:color w:val="111827"/>
                <w:sz w:val="18"/>
              </w:rPr>
              <w:t>Wallet</w:t>
            </w:r>
          </w:p>
        </w:tc>
        <w:tc>
          <w:tcPr>
            <w:tcW w:type="dxa" w:w="5083"/>
            <w:vAlign w:val="top"/>
            <w:tcMar>
              <w:top w:w="80" w:type="dxa"/>
              <w:start w:w="90" w:type="dxa"/>
              <w:bottom w:w="80" w:type="dxa"/>
              <w:end w:w="90" w:type="dxa"/>
            </w:tcMar>
          </w:tcPr>
          <w:p>
            <w:r>
              <w:rPr>
                <w:color w:val="111827"/>
                <w:sz w:val="18"/>
              </w:rPr>
              <w:t>Adds a pre-sign security gate without building a full forensic stack internally.</w:t>
            </w:r>
          </w:p>
        </w:tc>
      </w:tr>
      <w:tr>
        <w:tc>
          <w:tcPr>
            <w:tcW w:type="dxa" w:w="5083"/>
            <w:vAlign w:val="top"/>
            <w:tcMar>
              <w:top w:w="80" w:type="dxa"/>
              <w:start w:w="90" w:type="dxa"/>
              <w:bottom w:w="80" w:type="dxa"/>
              <w:end w:w="90" w:type="dxa"/>
            </w:tcMar>
          </w:tcPr>
          <w:p>
            <w:r>
              <w:rPr>
                <w:color w:val="111827"/>
                <w:sz w:val="18"/>
              </w:rPr>
              <w:t>DEX / aggregator</w:t>
            </w:r>
          </w:p>
        </w:tc>
        <w:tc>
          <w:tcPr>
            <w:tcW w:type="dxa" w:w="5083"/>
            <w:vAlign w:val="top"/>
            <w:tcMar>
              <w:top w:w="80" w:type="dxa"/>
              <w:start w:w="90" w:type="dxa"/>
              <w:bottom w:w="80" w:type="dxa"/>
              <w:end w:w="90" w:type="dxa"/>
            </w:tcMar>
          </w:tcPr>
          <w:p>
            <w:r>
              <w:rPr>
                <w:color w:val="111827"/>
                <w:sz w:val="18"/>
              </w:rPr>
              <w:t>Protects routes and pools through dynamic risk policies.</w:t>
            </w:r>
          </w:p>
        </w:tc>
      </w:tr>
      <w:tr>
        <w:tc>
          <w:tcPr>
            <w:tcW w:type="dxa" w:w="5083"/>
            <w:vAlign w:val="top"/>
            <w:tcMar>
              <w:top w:w="80" w:type="dxa"/>
              <w:start w:w="90" w:type="dxa"/>
              <w:bottom w:w="80" w:type="dxa"/>
              <w:end w:w="90" w:type="dxa"/>
            </w:tcMar>
          </w:tcPr>
          <w:p>
            <w:r>
              <w:rPr>
                <w:color w:val="111827"/>
                <w:sz w:val="18"/>
              </w:rPr>
              <w:t>Broker / fintech</w:t>
            </w:r>
          </w:p>
        </w:tc>
        <w:tc>
          <w:tcPr>
            <w:tcW w:type="dxa" w:w="5083"/>
            <w:vAlign w:val="top"/>
            <w:tcMar>
              <w:top w:w="80" w:type="dxa"/>
              <w:start w:w="90" w:type="dxa"/>
              <w:bottom w:w="80" w:type="dxa"/>
              <w:end w:w="90" w:type="dxa"/>
            </w:tcMar>
          </w:tcPr>
          <w:p>
            <w:r>
              <w:rPr>
                <w:color w:val="111827"/>
                <w:sz w:val="18"/>
              </w:rPr>
              <w:t>Adds market-integrity and technical risk controls to the trading experience.</w:t>
            </w:r>
          </w:p>
        </w:tc>
      </w:tr>
      <w:tr>
        <w:tc>
          <w:tcPr>
            <w:tcW w:type="dxa" w:w="5083"/>
            <w:vAlign w:val="top"/>
            <w:tcMar>
              <w:top w:w="80" w:type="dxa"/>
              <w:start w:w="90" w:type="dxa"/>
              <w:bottom w:w="80" w:type="dxa"/>
              <w:end w:w="90" w:type="dxa"/>
            </w:tcMar>
          </w:tcPr>
          <w:p>
            <w:r>
              <w:rPr>
                <w:color w:val="111827"/>
                <w:sz w:val="18"/>
              </w:rPr>
              <w:t>Issuer / RWA platform</w:t>
            </w:r>
          </w:p>
        </w:tc>
        <w:tc>
          <w:tcPr>
            <w:tcW w:type="dxa" w:w="5083"/>
            <w:vAlign w:val="top"/>
            <w:tcMar>
              <w:top w:w="80" w:type="dxa"/>
              <w:start w:w="90" w:type="dxa"/>
              <w:bottom w:w="80" w:type="dxa"/>
              <w:end w:w="90" w:type="dxa"/>
            </w:tcMar>
          </w:tcPr>
          <w:p>
            <w:r>
              <w:rPr>
                <w:color w:val="111827"/>
                <w:sz w:val="18"/>
              </w:rPr>
              <w:t>Monitors token, oracle and liquidity health.</w:t>
            </w:r>
          </w:p>
        </w:tc>
      </w:tr>
      <w:tr>
        <w:tc>
          <w:tcPr>
            <w:tcW w:type="dxa" w:w="5083"/>
            <w:vAlign w:val="top"/>
            <w:tcMar>
              <w:top w:w="80" w:type="dxa"/>
              <w:start w:w="90" w:type="dxa"/>
              <w:bottom w:w="80" w:type="dxa"/>
              <w:end w:w="90" w:type="dxa"/>
            </w:tcMar>
          </w:tcPr>
          <w:p>
            <w:r>
              <w:rPr>
                <w:color w:val="111827"/>
                <w:sz w:val="18"/>
              </w:rPr>
              <w:t>Institution</w:t>
            </w:r>
          </w:p>
        </w:tc>
        <w:tc>
          <w:tcPr>
            <w:tcW w:type="dxa" w:w="5083"/>
            <w:vAlign w:val="top"/>
            <w:tcMar>
              <w:top w:w="80" w:type="dxa"/>
              <w:start w:w="90" w:type="dxa"/>
              <w:bottom w:w="80" w:type="dxa"/>
              <w:end w:w="90" w:type="dxa"/>
            </w:tcMar>
          </w:tcPr>
          <w:p>
            <w:r>
              <w:rPr>
                <w:color w:val="111827"/>
                <w:sz w:val="18"/>
              </w:rPr>
              <w:t>Gets reproducible evidence, on-chain traceability and API-enforceable policy.</w:t>
            </w:r>
          </w:p>
        </w:tc>
      </w:tr>
    </w:tbl>
    <w:p/>
    <w:p>
      <w:pPr>
        <w:pStyle w:val="Heading1"/>
      </w:pPr>
      <w:r>
        <w:t>4. Functional architecture</w:t>
      </w:r>
    </w:p>
    <w:p>
      <w:pPr>
        <w:pStyle w:val="CodeBlock"/>
        <w:shd w:fill="F3F5FA"/>
      </w:pPr>
      <w:r>
        <w:t>USER / WALLET / BROKER / DEX</w:t>
        <w:br/>
        <w:t xml:space="preserve">            │</w:t>
        <w:br/>
        <w:t xml:space="preserve">            ▼</w:t>
        <w:br/>
        <w:t xml:space="preserve">     STOCKSHIELD UI + API</w:t>
        <w:br/>
        <w:t xml:space="preserve">            │</w:t>
        <w:br/>
        <w:t xml:space="preserve">   Pyth • PreStocks • SWAT • Solana</w:t>
        <w:br/>
        <w:t xml:space="preserve">            │</w:t>
        <w:br/>
        <w:t xml:space="preserve">            ▼</w:t>
        <w:br/>
        <w:t xml:space="preserve">      NORMALIZATION LAYER</w:t>
        <w:br/>
        <w:t xml:space="preserve">            │</w:t>
        <w:br/>
        <w:t xml:space="preserve">            ▼</w:t>
        <w:br/>
        <w:t xml:space="preserve">      RISK POLICY ENGINE</w:t>
        <w:br/>
        <w:t xml:space="preserve"> price • oracle • liquidity • wallets • MEV</w:t>
        <w:br/>
        <w:t xml:space="preserve">            │</w:t>
        <w:br/>
        <w:t xml:space="preserve">     ALLOW / WARN / BLOCK</w:t>
        <w:br/>
        <w:t xml:space="preserve">            │</w:t>
        <w:br/>
        <w:t xml:space="preserve">      ┌─────┴─────┐</w:t>
        <w:br/>
        <w:t xml:space="preserve">      ▼           ▼</w:t>
        <w:br/>
        <w:t xml:space="preserve"> Meteora DBC   Solana Proof</w:t>
      </w:r>
    </w:p>
    <w:p>
      <w:r>
        <w:t>The architecture separates data acquisition, normalization, analytics, policy and execution. Pyth and SWAT credentials remain server-side; the browser receives normalized public values and computed decisions only.</w:t>
      </w:r>
    </w:p>
    <w:p>
      <w:pPr>
        <w:pStyle w:val="Heading1"/>
      </w:pPr>
      <w:r>
        <w:t>5. Core components</w:t>
      </w:r>
    </w:p>
    <w:p>
      <w:pPr>
        <w:pStyle w:val="Heading2"/>
      </w:pPr>
      <w:r>
        <w:t>5.1 StockShield UI</w:t>
      </w:r>
    </w:p>
    <w:p>
      <w:r>
        <w:t>A Next.js execution-oriented interface that presents the asset, reference price, tokenized price, premium/discount, depth, oracle state, score, risk radar, forensic graph, pool health and execution decision. It integrates Phantom and displays on-chain signature/evidence.</w:t>
      </w:r>
    </w:p>
    <w:p>
      <w:pPr>
        <w:pStyle w:val="Heading2"/>
      </w:pPr>
      <w:r>
        <w:t>5.2 Asset Intelligence Layer</w:t>
      </w:r>
    </w:p>
    <w:p>
      <w:r>
        <w:t>Resolves the tokenized asset, underlying, mint, issuer, SPV/custody, associated contracts, liquidity venue and price sources. It normalizes symbols and metadata into one canonical identity.</w:t>
      </w:r>
    </w:p>
    <w:p>
      <w:pPr>
        <w:pStyle w:val="Heading2"/>
      </w:pPr>
      <w:r>
        <w:t>5.3 Price Integrity Engine</w:t>
      </w:r>
    </w:p>
    <w:p>
      <w:r>
        <w:t>Compares reference price, tokenized price and, when applicable, multiple tokenized representations of the same underlying. It calculates divergence, premium/discount, temporal stability and liquidity/session-aware tolerances.</w:t>
      </w:r>
    </w:p>
    <w:p>
      <w:pPr>
        <w:pStyle w:val="Heading2"/>
      </w:pPr>
      <w:r>
        <w:t>5.4 Oracle Health Engine</w:t>
      </w:r>
    </w:p>
    <w:p>
      <w:r>
        <w:t>Uses Pyth to assess price, bid, ask, confidence, publish time, publisher count, market session and freshness. Stale or low-confidence data degrades or blocks execution.</w:t>
      </w:r>
    </w:p>
    <w:p>
      <w:pPr>
        <w:pStyle w:val="Heading2"/>
      </w:pPr>
      <w:r>
        <w:t>5.5 Liquidity &amp; Pool Intelligence</w:t>
      </w:r>
    </w:p>
    <w:p>
      <w:r>
        <w:t>Analyzes effective depth, relevant TVL, LP concentration, expected slippage, market impact, abrupt changes, abnormal activity and manipulation signals. Results feed both execution policy and Meteora DBC.</w:t>
      </w:r>
    </w:p>
    <w:p>
      <w:pPr>
        <w:pStyle w:val="Heading2"/>
      </w:pPr>
      <w:r>
        <w:t>5.6 SWAT Threat Intelligence</w:t>
      </w:r>
    </w:p>
    <w:p>
      <w:r>
        <w:t>Integrates SWAT intelligence for wallet provenance, tainted exposure, relationship graphs, contracts, threats, MEV/sandwich patterns, anomalies and forensic evidence. Signals are normalized into explainable risk variables.</w:t>
      </w:r>
    </w:p>
    <w:p>
      <w:pPr>
        <w:pStyle w:val="Heading2"/>
      </w:pPr>
      <w:r>
        <w:t>5.7 Execution Safety Engine</w:t>
      </w:r>
    </w:p>
    <w:p>
      <w:r>
        <w:t>Simulates the operation before signing, estimating slippage, impact, divergence, MEV conditions and route quality. It combines those results with the global score to emit ALLOW, WARN or BLOCK.</w:t>
      </w:r>
    </w:p>
    <w:p>
      <w:pPr>
        <w:pStyle w:val="Heading2"/>
      </w:pPr>
      <w:r>
        <w:t>5.8 Policy Engine</w:t>
      </w:r>
    </w:p>
    <w:p>
      <w:r>
        <w:t>The central decision component. It applies deterministic rules and weighted dimensions, preserves the evidence behind the decision and returns reproducible results. Policies can vary by asset class, venue, customer and institutional profile.</w:t>
      </w:r>
    </w:p>
    <w:p>
      <w:pPr>
        <w:pStyle w:val="Heading2"/>
      </w:pPr>
      <w:r>
        <w:t>5.9 Risk-Adaptive Meteora DBC Controller</w:t>
      </w:r>
    </w:p>
    <w:p>
      <w:r>
        <w:t>Controls Dynamic Bonding Curve parameters according to risk, volatility, price integrity, market session and liquidity. Normal conditions use standard settings; elevated risk activates defensive parameters; critical integrity failures trigger the execution gate and operator alert.</w:t>
      </w:r>
    </w:p>
    <w:p>
      <w:pPr>
        <w:pStyle w:val="Heading2"/>
      </w:pPr>
      <w:r>
        <w:t>5.10 Solana Risk Attestation</w:t>
      </w:r>
    </w:p>
    <w:p>
      <w:r>
        <w:t>Publishes compact evidence of the risk decision on Solana, linking asset, score, decision, divergence, timestamp and evidence hash. This proves what the system knew immediately before execution.</w:t>
      </w:r>
    </w:p>
    <w:p>
      <w:pPr>
        <w:pStyle w:val="Heading2"/>
      </w:pPr>
      <w:r>
        <w:t>5.11 ATTACK MODE</w:t>
      </w:r>
    </w:p>
    <w:p>
      <w:r>
        <w:t>Generates clearly labeled synthetic scenarios to demonstrate reactions to extreme divergence, wallet risk, oracle degradation, liquidity concentration or combined signals. The engine recalculates policy exactly as it would during a live incident.</w:t>
      </w:r>
    </w:p>
    <w:p>
      <w:pPr>
        <w:pStyle w:val="Heading1"/>
      </w:pPr>
      <w:r>
        <w:t>6. Integrations</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shd w:fill="0B1020"/>
            <w:vAlign w:val="center"/>
          </w:tcPr>
          <w:p>
            <w:r>
              <w:rPr>
                <w:b/>
                <w:color w:val="FFFFFF"/>
                <w:sz w:val="19"/>
              </w:rPr>
              <w:t>Integration</w:t>
            </w:r>
          </w:p>
        </w:tc>
        <w:tc>
          <w:tcPr>
            <w:tcW w:type="dxa" w:w="3389"/>
            <w:shd w:fill="0B1020"/>
            <w:vAlign w:val="center"/>
          </w:tcPr>
          <w:p>
            <w:r>
              <w:rPr>
                <w:b/>
                <w:color w:val="FFFFFF"/>
                <w:sz w:val="19"/>
              </w:rPr>
              <w:t>Role inside StockShield</w:t>
            </w:r>
          </w:p>
        </w:tc>
        <w:tc>
          <w:tcPr>
            <w:tcW w:type="dxa" w:w="3389"/>
            <w:shd w:fill="0B1020"/>
            <w:vAlign w:val="center"/>
          </w:tcPr>
          <w:p>
            <w:r>
              <w:rPr>
                <w:b/>
                <w:color w:val="FFFFFF"/>
                <w:sz w:val="19"/>
              </w:rPr>
              <w:t>Outcome</w:t>
            </w:r>
          </w:p>
        </w:tc>
      </w:tr>
      <w:tr>
        <w:tc>
          <w:tcPr>
            <w:tcW w:type="dxa" w:w="3389"/>
            <w:vAlign w:val="top"/>
            <w:tcMar>
              <w:top w:w="80" w:type="dxa"/>
              <w:start w:w="90" w:type="dxa"/>
              <w:bottom w:w="80" w:type="dxa"/>
              <w:end w:w="90" w:type="dxa"/>
            </w:tcMar>
          </w:tcPr>
          <w:p>
            <w:r>
              <w:rPr>
                <w:color w:val="111827"/>
                <w:sz w:val="18"/>
              </w:rPr>
              <w:t>Pyth</w:t>
            </w:r>
          </w:p>
        </w:tc>
        <w:tc>
          <w:tcPr>
            <w:tcW w:type="dxa" w:w="3389"/>
            <w:vAlign w:val="top"/>
            <w:tcMar>
              <w:top w:w="80" w:type="dxa"/>
              <w:start w:w="90" w:type="dxa"/>
              <w:bottom w:w="80" w:type="dxa"/>
              <w:end w:w="90" w:type="dxa"/>
            </w:tcMar>
          </w:tcPr>
          <w:p>
            <w:r>
              <w:rPr>
                <w:color w:val="111827"/>
                <w:sz w:val="18"/>
              </w:rPr>
              <w:t>Underlying/tokenized price, bid/ask, confidence, timestamps and market session.</w:t>
            </w:r>
          </w:p>
        </w:tc>
        <w:tc>
          <w:tcPr>
            <w:tcW w:type="dxa" w:w="3389"/>
            <w:vAlign w:val="top"/>
            <w:tcMar>
              <w:top w:w="80" w:type="dxa"/>
              <w:start w:w="90" w:type="dxa"/>
              <w:bottom w:w="80" w:type="dxa"/>
              <w:end w:w="90" w:type="dxa"/>
            </w:tcMar>
          </w:tcPr>
          <w:p>
            <w:r>
              <w:rPr>
                <w:color w:val="111827"/>
                <w:sz w:val="18"/>
              </w:rPr>
              <w:t>Oracle Health + Price Integrity + policy gate.</w:t>
            </w:r>
          </w:p>
        </w:tc>
      </w:tr>
      <w:tr>
        <w:tc>
          <w:tcPr>
            <w:tcW w:type="dxa" w:w="3389"/>
            <w:vAlign w:val="top"/>
            <w:tcMar>
              <w:top w:w="80" w:type="dxa"/>
              <w:start w:w="90" w:type="dxa"/>
              <w:bottom w:w="80" w:type="dxa"/>
              <w:end w:w="90" w:type="dxa"/>
            </w:tcMar>
          </w:tcPr>
          <w:p>
            <w:r>
              <w:rPr>
                <w:color w:val="111827"/>
                <w:sz w:val="18"/>
              </w:rPr>
              <w:t>PreStocks</w:t>
            </w:r>
          </w:p>
        </w:tc>
        <w:tc>
          <w:tcPr>
            <w:tcW w:type="dxa" w:w="3389"/>
            <w:vAlign w:val="top"/>
            <w:tcMar>
              <w:top w:w="80" w:type="dxa"/>
              <w:start w:w="90" w:type="dxa"/>
              <w:bottom w:w="80" w:type="dxa"/>
              <w:end w:w="90" w:type="dxa"/>
            </w:tcMar>
          </w:tcPr>
          <w:p>
            <w:r>
              <w:rPr>
                <w:color w:val="111827"/>
                <w:sz w:val="18"/>
              </w:rPr>
              <w:t>Catalog of tokenized pre-IPO assets, prices, contracts, valuation and metadata.</w:t>
            </w:r>
          </w:p>
        </w:tc>
        <w:tc>
          <w:tcPr>
            <w:tcW w:type="dxa" w:w="3389"/>
            <w:vAlign w:val="top"/>
            <w:tcMar>
              <w:top w:w="80" w:type="dxa"/>
              <w:start w:w="90" w:type="dxa"/>
              <w:bottom w:w="80" w:type="dxa"/>
              <w:end w:w="90" w:type="dxa"/>
            </w:tcMar>
          </w:tcPr>
          <w:p>
            <w:r>
              <w:rPr>
                <w:color w:val="111827"/>
                <w:sz w:val="18"/>
              </w:rPr>
              <w:t>Pre-IPO Intelligence and premium/discount analysis.</w:t>
            </w:r>
          </w:p>
        </w:tc>
      </w:tr>
      <w:tr>
        <w:tc>
          <w:tcPr>
            <w:tcW w:type="dxa" w:w="3389"/>
            <w:vAlign w:val="top"/>
            <w:tcMar>
              <w:top w:w="80" w:type="dxa"/>
              <w:start w:w="90" w:type="dxa"/>
              <w:bottom w:w="80" w:type="dxa"/>
              <w:end w:w="90" w:type="dxa"/>
            </w:tcMar>
          </w:tcPr>
          <w:p>
            <w:r>
              <w:rPr>
                <w:color w:val="111827"/>
                <w:sz w:val="18"/>
              </w:rPr>
              <w:t>SWAT / NoRug.es</w:t>
            </w:r>
          </w:p>
        </w:tc>
        <w:tc>
          <w:tcPr>
            <w:tcW w:type="dxa" w:w="3389"/>
            <w:vAlign w:val="top"/>
            <w:tcMar>
              <w:top w:w="80" w:type="dxa"/>
              <w:start w:w="90" w:type="dxa"/>
              <w:bottom w:w="80" w:type="dxa"/>
              <w:end w:w="90" w:type="dxa"/>
            </w:tcMar>
          </w:tcPr>
          <w:p>
            <w:r>
              <w:rPr>
                <w:color w:val="111827"/>
                <w:sz w:val="18"/>
              </w:rPr>
              <w:t>Threat intelligence, wallet provenance, contracts, graphs, MEV, pools and evidence.</w:t>
            </w:r>
          </w:p>
        </w:tc>
        <w:tc>
          <w:tcPr>
            <w:tcW w:type="dxa" w:w="3389"/>
            <w:vAlign w:val="top"/>
            <w:tcMar>
              <w:top w:w="80" w:type="dxa"/>
              <w:start w:w="90" w:type="dxa"/>
              <w:bottom w:w="80" w:type="dxa"/>
              <w:end w:w="90" w:type="dxa"/>
            </w:tcMar>
          </w:tcPr>
          <w:p>
            <w:r>
              <w:rPr>
                <w:color w:val="111827"/>
                <w:sz w:val="18"/>
              </w:rPr>
              <w:t>Wallet Risk, Contract Risk, Threat Score and traceability.</w:t>
            </w:r>
          </w:p>
        </w:tc>
      </w:tr>
      <w:tr>
        <w:tc>
          <w:tcPr>
            <w:tcW w:type="dxa" w:w="3389"/>
            <w:vAlign w:val="top"/>
            <w:tcMar>
              <w:top w:w="80" w:type="dxa"/>
              <w:start w:w="90" w:type="dxa"/>
              <w:bottom w:w="80" w:type="dxa"/>
              <w:end w:w="90" w:type="dxa"/>
            </w:tcMar>
          </w:tcPr>
          <w:p>
            <w:r>
              <w:rPr>
                <w:color w:val="111827"/>
                <w:sz w:val="18"/>
              </w:rPr>
              <w:t>Meteora DBC / DAMM</w:t>
            </w:r>
          </w:p>
        </w:tc>
        <w:tc>
          <w:tcPr>
            <w:tcW w:type="dxa" w:w="3389"/>
            <w:vAlign w:val="top"/>
            <w:tcMar>
              <w:top w:w="80" w:type="dxa"/>
              <w:start w:w="90" w:type="dxa"/>
              <w:bottom w:w="80" w:type="dxa"/>
              <w:end w:w="90" w:type="dxa"/>
            </w:tcMar>
          </w:tcPr>
          <w:p>
            <w:r>
              <w:rPr>
                <w:color w:val="111827"/>
                <w:sz w:val="18"/>
              </w:rPr>
              <w:t>Liquidity and risk-adaptive dynamic curves.</w:t>
            </w:r>
          </w:p>
        </w:tc>
        <w:tc>
          <w:tcPr>
            <w:tcW w:type="dxa" w:w="3389"/>
            <w:vAlign w:val="top"/>
            <w:tcMar>
              <w:top w:w="80" w:type="dxa"/>
              <w:start w:w="90" w:type="dxa"/>
              <w:bottom w:w="80" w:type="dxa"/>
              <w:end w:w="90" w:type="dxa"/>
            </w:tcMar>
          </w:tcPr>
          <w:p>
            <w:r>
              <w:rPr>
                <w:color w:val="111827"/>
                <w:sz w:val="18"/>
              </w:rPr>
              <w:t>Defensive fees/curve behavior and controlled graduation.</w:t>
            </w:r>
          </w:p>
        </w:tc>
      </w:tr>
      <w:tr>
        <w:tc>
          <w:tcPr>
            <w:tcW w:type="dxa" w:w="3389"/>
            <w:vAlign w:val="top"/>
            <w:tcMar>
              <w:top w:w="80" w:type="dxa"/>
              <w:start w:w="90" w:type="dxa"/>
              <w:bottom w:w="80" w:type="dxa"/>
              <w:end w:w="90" w:type="dxa"/>
            </w:tcMar>
          </w:tcPr>
          <w:p>
            <w:r>
              <w:rPr>
                <w:color w:val="111827"/>
                <w:sz w:val="18"/>
              </w:rPr>
              <w:t>Solana</w:t>
            </w:r>
          </w:p>
        </w:tc>
        <w:tc>
          <w:tcPr>
            <w:tcW w:type="dxa" w:w="3389"/>
            <w:vAlign w:val="top"/>
            <w:tcMar>
              <w:top w:w="80" w:type="dxa"/>
              <w:start w:w="90" w:type="dxa"/>
              <w:bottom w:w="80" w:type="dxa"/>
              <w:end w:w="90" w:type="dxa"/>
            </w:tcMar>
          </w:tcPr>
          <w:p>
            <w:r>
              <w:rPr>
                <w:color w:val="111827"/>
                <w:sz w:val="18"/>
              </w:rPr>
              <w:t>Asset, execution, decision proof and verifiability.</w:t>
            </w:r>
          </w:p>
        </w:tc>
        <w:tc>
          <w:tcPr>
            <w:tcW w:type="dxa" w:w="3389"/>
            <w:vAlign w:val="top"/>
            <w:tcMar>
              <w:top w:w="80" w:type="dxa"/>
              <w:start w:w="90" w:type="dxa"/>
              <w:bottom w:w="80" w:type="dxa"/>
              <w:end w:w="90" w:type="dxa"/>
            </w:tcMar>
          </w:tcPr>
          <w:p>
            <w:r>
              <w:rPr>
                <w:color w:val="111827"/>
                <w:sz w:val="18"/>
              </w:rPr>
              <w:t>On-chain attestation and transaction traceability.</w:t>
            </w:r>
          </w:p>
        </w:tc>
      </w:tr>
      <w:tr>
        <w:tc>
          <w:tcPr>
            <w:tcW w:type="dxa" w:w="3389"/>
            <w:vAlign w:val="top"/>
            <w:tcMar>
              <w:top w:w="80" w:type="dxa"/>
              <w:start w:w="90" w:type="dxa"/>
              <w:bottom w:w="80" w:type="dxa"/>
              <w:end w:w="90" w:type="dxa"/>
            </w:tcMar>
          </w:tcPr>
          <w:p>
            <w:r>
              <w:rPr>
                <w:color w:val="111827"/>
                <w:sz w:val="18"/>
              </w:rPr>
              <w:t>Phantom</w:t>
            </w:r>
          </w:p>
        </w:tc>
        <w:tc>
          <w:tcPr>
            <w:tcW w:type="dxa" w:w="3389"/>
            <w:vAlign w:val="top"/>
            <w:tcMar>
              <w:top w:w="80" w:type="dxa"/>
              <w:start w:w="90" w:type="dxa"/>
              <w:bottom w:w="80" w:type="dxa"/>
              <w:end w:w="90" w:type="dxa"/>
            </w:tcMar>
          </w:tcPr>
          <w:p>
            <w:r>
              <w:rPr>
                <w:color w:val="111827"/>
                <w:sz w:val="18"/>
              </w:rPr>
              <w:t>User connection, signing and transaction submission.</w:t>
            </w:r>
          </w:p>
        </w:tc>
        <w:tc>
          <w:tcPr>
            <w:tcW w:type="dxa" w:w="3389"/>
            <w:vAlign w:val="top"/>
            <w:tcMar>
              <w:top w:w="80" w:type="dxa"/>
              <w:start w:w="90" w:type="dxa"/>
              <w:bottom w:w="80" w:type="dxa"/>
              <w:end w:w="90" w:type="dxa"/>
            </w:tcMar>
          </w:tcPr>
          <w:p>
            <w:r>
              <w:rPr>
                <w:color w:val="111827"/>
                <w:sz w:val="18"/>
              </w:rPr>
              <w:t>Verifiable UI-to-chain E2E.</w:t>
            </w:r>
          </w:p>
        </w:tc>
      </w:tr>
    </w:tbl>
    <w:p/>
    <w:p>
      <w:pPr>
        <w:pStyle w:val="Heading1"/>
      </w:pPr>
      <w:r>
        <w:t>7. StockShield risk model</w:t>
      </w:r>
    </w:p>
    <w:p>
      <w:r>
        <w:t>The global score uses a 0–100 scale where higher values indicate stronger integrity and safer execution conditions. The score is not used in isolation: critical rules can force a BLOCK even if the weighted average remains high.</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shd w:fill="0B1020"/>
            <w:vAlign w:val="center"/>
          </w:tcPr>
          <w:p>
            <w:r>
              <w:rPr>
                <w:b/>
                <w:color w:val="FFFFFF"/>
                <w:sz w:val="19"/>
              </w:rPr>
              <w:t>Dimension</w:t>
            </w:r>
          </w:p>
        </w:tc>
        <w:tc>
          <w:tcPr>
            <w:tcW w:type="dxa" w:w="3389"/>
            <w:shd w:fill="0B1020"/>
            <w:vAlign w:val="center"/>
          </w:tcPr>
          <w:p>
            <w:r>
              <w:rPr>
                <w:b/>
                <w:color w:val="FFFFFF"/>
                <w:sz w:val="19"/>
              </w:rPr>
              <w:t>What it measures</w:t>
            </w:r>
          </w:p>
        </w:tc>
        <w:tc>
          <w:tcPr>
            <w:tcW w:type="dxa" w:w="3389"/>
            <w:shd w:fill="0B1020"/>
            <w:vAlign w:val="center"/>
          </w:tcPr>
          <w:p>
            <w:r>
              <w:rPr>
                <w:b/>
                <w:color w:val="FFFFFF"/>
                <w:sz w:val="19"/>
              </w:rPr>
              <w:t>Evidence examples</w:t>
            </w:r>
          </w:p>
        </w:tc>
      </w:tr>
      <w:tr>
        <w:tc>
          <w:tcPr>
            <w:tcW w:type="dxa" w:w="3389"/>
            <w:vAlign w:val="top"/>
            <w:tcMar>
              <w:top w:w="80" w:type="dxa"/>
              <w:start w:w="90" w:type="dxa"/>
              <w:bottom w:w="80" w:type="dxa"/>
              <w:end w:w="90" w:type="dxa"/>
            </w:tcMar>
          </w:tcPr>
          <w:p>
            <w:r>
              <w:rPr>
                <w:color w:val="111827"/>
                <w:sz w:val="18"/>
              </w:rPr>
              <w:t>Price Integrity</w:t>
            </w:r>
          </w:p>
        </w:tc>
        <w:tc>
          <w:tcPr>
            <w:tcW w:type="dxa" w:w="3389"/>
            <w:vAlign w:val="top"/>
            <w:tcMar>
              <w:top w:w="80" w:type="dxa"/>
              <w:start w:w="90" w:type="dxa"/>
              <w:bottom w:w="80" w:type="dxa"/>
              <w:end w:w="90" w:type="dxa"/>
            </w:tcMar>
          </w:tcPr>
          <w:p>
            <w:r>
              <w:rPr>
                <w:color w:val="111827"/>
                <w:sz w:val="18"/>
              </w:rPr>
              <w:t>Consistency between reference and token.</w:t>
            </w:r>
          </w:p>
        </w:tc>
        <w:tc>
          <w:tcPr>
            <w:tcW w:type="dxa" w:w="3389"/>
            <w:vAlign w:val="top"/>
            <w:tcMar>
              <w:top w:w="80" w:type="dxa"/>
              <w:start w:w="90" w:type="dxa"/>
              <w:bottom w:w="80" w:type="dxa"/>
              <w:end w:w="90" w:type="dxa"/>
            </w:tcMar>
          </w:tcPr>
          <w:p>
            <w:r>
              <w:rPr>
                <w:color w:val="111827"/>
                <w:sz w:val="18"/>
              </w:rPr>
              <w:t>Divergence, premium/discount, persistence.</w:t>
            </w:r>
          </w:p>
        </w:tc>
      </w:tr>
      <w:tr>
        <w:tc>
          <w:tcPr>
            <w:tcW w:type="dxa" w:w="3389"/>
            <w:vAlign w:val="top"/>
            <w:tcMar>
              <w:top w:w="80" w:type="dxa"/>
              <w:start w:w="90" w:type="dxa"/>
              <w:bottom w:w="80" w:type="dxa"/>
              <w:end w:w="90" w:type="dxa"/>
            </w:tcMar>
          </w:tcPr>
          <w:p>
            <w:r>
              <w:rPr>
                <w:color w:val="111827"/>
                <w:sz w:val="18"/>
              </w:rPr>
              <w:t>Oracle Health</w:t>
            </w:r>
          </w:p>
        </w:tc>
        <w:tc>
          <w:tcPr>
            <w:tcW w:type="dxa" w:w="3389"/>
            <w:vAlign w:val="top"/>
            <w:tcMar>
              <w:top w:w="80" w:type="dxa"/>
              <w:start w:w="90" w:type="dxa"/>
              <w:bottom w:w="80" w:type="dxa"/>
              <w:end w:w="90" w:type="dxa"/>
            </w:tcMar>
          </w:tcPr>
          <w:p>
            <w:r>
              <w:rPr>
                <w:color w:val="111827"/>
                <w:sz w:val="18"/>
              </w:rPr>
              <w:t>Quality and freshness of the feed.</w:t>
            </w:r>
          </w:p>
        </w:tc>
        <w:tc>
          <w:tcPr>
            <w:tcW w:type="dxa" w:w="3389"/>
            <w:vAlign w:val="top"/>
            <w:tcMar>
              <w:top w:w="80" w:type="dxa"/>
              <w:start w:w="90" w:type="dxa"/>
              <w:bottom w:w="80" w:type="dxa"/>
              <w:end w:w="90" w:type="dxa"/>
            </w:tcMar>
          </w:tcPr>
          <w:p>
            <w:r>
              <w:rPr>
                <w:color w:val="111827"/>
                <w:sz w:val="18"/>
              </w:rPr>
              <w:t>Confidence, timestamp, session, publishers.</w:t>
            </w:r>
          </w:p>
        </w:tc>
      </w:tr>
      <w:tr>
        <w:tc>
          <w:tcPr>
            <w:tcW w:type="dxa" w:w="3389"/>
            <w:vAlign w:val="top"/>
            <w:tcMar>
              <w:top w:w="80" w:type="dxa"/>
              <w:start w:w="90" w:type="dxa"/>
              <w:bottom w:w="80" w:type="dxa"/>
              <w:end w:w="90" w:type="dxa"/>
            </w:tcMar>
          </w:tcPr>
          <w:p>
            <w:r>
              <w:rPr>
                <w:color w:val="111827"/>
                <w:sz w:val="18"/>
              </w:rPr>
              <w:t>Liquidity</w:t>
            </w:r>
          </w:p>
        </w:tc>
        <w:tc>
          <w:tcPr>
            <w:tcW w:type="dxa" w:w="3389"/>
            <w:vAlign w:val="top"/>
            <w:tcMar>
              <w:top w:w="80" w:type="dxa"/>
              <w:start w:w="90" w:type="dxa"/>
              <w:bottom w:w="80" w:type="dxa"/>
              <w:end w:w="90" w:type="dxa"/>
            </w:tcMar>
          </w:tcPr>
          <w:p>
            <w:r>
              <w:rPr>
                <w:color w:val="111827"/>
                <w:sz w:val="18"/>
              </w:rPr>
              <w:t>Ability to execute without abnormal impact.</w:t>
            </w:r>
          </w:p>
        </w:tc>
        <w:tc>
          <w:tcPr>
            <w:tcW w:type="dxa" w:w="3389"/>
            <w:vAlign w:val="top"/>
            <w:tcMar>
              <w:top w:w="80" w:type="dxa"/>
              <w:start w:w="90" w:type="dxa"/>
              <w:bottom w:w="80" w:type="dxa"/>
              <w:end w:w="90" w:type="dxa"/>
            </w:tcMar>
          </w:tcPr>
          <w:p>
            <w:r>
              <w:rPr>
                <w:color w:val="111827"/>
                <w:sz w:val="18"/>
              </w:rPr>
              <w:t>Depth, slippage, concentration, usable TVL.</w:t>
            </w:r>
          </w:p>
        </w:tc>
      </w:tr>
      <w:tr>
        <w:tc>
          <w:tcPr>
            <w:tcW w:type="dxa" w:w="3389"/>
            <w:vAlign w:val="top"/>
            <w:tcMar>
              <w:top w:w="80" w:type="dxa"/>
              <w:start w:w="90" w:type="dxa"/>
              <w:bottom w:w="80" w:type="dxa"/>
              <w:end w:w="90" w:type="dxa"/>
            </w:tcMar>
          </w:tcPr>
          <w:p>
            <w:r>
              <w:rPr>
                <w:color w:val="111827"/>
                <w:sz w:val="18"/>
              </w:rPr>
              <w:t>Wallet Risk</w:t>
            </w:r>
          </w:p>
        </w:tc>
        <w:tc>
          <w:tcPr>
            <w:tcW w:type="dxa" w:w="3389"/>
            <w:vAlign w:val="top"/>
            <w:tcMar>
              <w:top w:w="80" w:type="dxa"/>
              <w:start w:w="90" w:type="dxa"/>
              <w:bottom w:w="80" w:type="dxa"/>
              <w:end w:w="90" w:type="dxa"/>
            </w:tcMar>
          </w:tcPr>
          <w:p>
            <w:r>
              <w:rPr>
                <w:color w:val="111827"/>
                <w:sz w:val="18"/>
              </w:rPr>
              <w:t>Provenance and exposure of relevant actors.</w:t>
            </w:r>
          </w:p>
        </w:tc>
        <w:tc>
          <w:tcPr>
            <w:tcW w:type="dxa" w:w="3389"/>
            <w:vAlign w:val="top"/>
            <w:tcMar>
              <w:top w:w="80" w:type="dxa"/>
              <w:start w:w="90" w:type="dxa"/>
              <w:bottom w:w="80" w:type="dxa"/>
              <w:end w:w="90" w:type="dxa"/>
            </w:tcMar>
          </w:tcPr>
          <w:p>
            <w:r>
              <w:rPr>
                <w:color w:val="111827"/>
                <w:sz w:val="18"/>
              </w:rPr>
              <w:t>Taint, clusters, relationships, risk tags.</w:t>
            </w:r>
          </w:p>
        </w:tc>
      </w:tr>
      <w:tr>
        <w:tc>
          <w:tcPr>
            <w:tcW w:type="dxa" w:w="3389"/>
            <w:vAlign w:val="top"/>
            <w:tcMar>
              <w:top w:w="80" w:type="dxa"/>
              <w:start w:w="90" w:type="dxa"/>
              <w:bottom w:w="80" w:type="dxa"/>
              <w:end w:w="90" w:type="dxa"/>
            </w:tcMar>
          </w:tcPr>
          <w:p>
            <w:r>
              <w:rPr>
                <w:color w:val="111827"/>
                <w:sz w:val="18"/>
              </w:rPr>
              <w:t>Contract Risk</w:t>
            </w:r>
          </w:p>
        </w:tc>
        <w:tc>
          <w:tcPr>
            <w:tcW w:type="dxa" w:w="3389"/>
            <w:vAlign w:val="top"/>
            <w:tcMar>
              <w:top w:w="80" w:type="dxa"/>
              <w:start w:w="90" w:type="dxa"/>
              <w:bottom w:w="80" w:type="dxa"/>
              <w:end w:w="90" w:type="dxa"/>
            </w:tcMar>
          </w:tcPr>
          <w:p>
            <w:r>
              <w:rPr>
                <w:color w:val="111827"/>
                <w:sz w:val="18"/>
              </w:rPr>
              <w:t>Technical risk in contracts/programs.</w:t>
            </w:r>
          </w:p>
        </w:tc>
        <w:tc>
          <w:tcPr>
            <w:tcW w:type="dxa" w:w="3389"/>
            <w:vAlign w:val="top"/>
            <w:tcMar>
              <w:top w:w="80" w:type="dxa"/>
              <w:start w:w="90" w:type="dxa"/>
              <w:bottom w:w="80" w:type="dxa"/>
              <w:end w:w="90" w:type="dxa"/>
            </w:tcMar>
          </w:tcPr>
          <w:p>
            <w:r>
              <w:rPr>
                <w:color w:val="111827"/>
                <w:sz w:val="18"/>
              </w:rPr>
              <w:t>Authorities, behavior, anomalies, history.</w:t>
            </w:r>
          </w:p>
        </w:tc>
      </w:tr>
      <w:tr>
        <w:tc>
          <w:tcPr>
            <w:tcW w:type="dxa" w:w="3389"/>
            <w:vAlign w:val="top"/>
            <w:tcMar>
              <w:top w:w="80" w:type="dxa"/>
              <w:start w:w="90" w:type="dxa"/>
              <w:bottom w:w="80" w:type="dxa"/>
              <w:end w:w="90" w:type="dxa"/>
            </w:tcMar>
          </w:tcPr>
          <w:p>
            <w:r>
              <w:rPr>
                <w:color w:val="111827"/>
                <w:sz w:val="18"/>
              </w:rPr>
              <w:t>Execution Safety</w:t>
            </w:r>
          </w:p>
        </w:tc>
        <w:tc>
          <w:tcPr>
            <w:tcW w:type="dxa" w:w="3389"/>
            <w:vAlign w:val="top"/>
            <w:tcMar>
              <w:top w:w="80" w:type="dxa"/>
              <w:start w:w="90" w:type="dxa"/>
              <w:bottom w:w="80" w:type="dxa"/>
              <w:end w:w="90" w:type="dxa"/>
            </w:tcMar>
          </w:tcPr>
          <w:p>
            <w:r>
              <w:rPr>
                <w:color w:val="111827"/>
                <w:sz w:val="18"/>
              </w:rPr>
              <w:t>Transaction-specific execution risk.</w:t>
            </w:r>
          </w:p>
        </w:tc>
        <w:tc>
          <w:tcPr>
            <w:tcW w:type="dxa" w:w="3389"/>
            <w:vAlign w:val="top"/>
            <w:tcMar>
              <w:top w:w="80" w:type="dxa"/>
              <w:start w:w="90" w:type="dxa"/>
              <w:bottom w:w="80" w:type="dxa"/>
              <w:end w:w="90" w:type="dxa"/>
            </w:tcMar>
          </w:tcPr>
          <w:p>
            <w:r>
              <w:rPr>
                <w:color w:val="111827"/>
                <w:sz w:val="18"/>
              </w:rPr>
              <w:t>MEV, sandwich, impact, route quality.</w:t>
            </w:r>
          </w:p>
        </w:tc>
      </w:tr>
    </w:tbl>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shd w:fill="0B1020"/>
            <w:vAlign w:val="center"/>
          </w:tcPr>
          <w:p>
            <w:r>
              <w:rPr>
                <w:b/>
                <w:color w:val="FFFFFF"/>
                <w:sz w:val="19"/>
              </w:rPr>
              <w:t>Decision</w:t>
            </w:r>
          </w:p>
        </w:tc>
        <w:tc>
          <w:tcPr>
            <w:tcW w:type="dxa" w:w="3389"/>
            <w:shd w:fill="0B1020"/>
            <w:vAlign w:val="center"/>
          </w:tcPr>
          <w:p>
            <w:r>
              <w:rPr>
                <w:b/>
                <w:color w:val="FFFFFF"/>
                <w:sz w:val="19"/>
              </w:rPr>
              <w:t>Meaning</w:t>
            </w:r>
          </w:p>
        </w:tc>
        <w:tc>
          <w:tcPr>
            <w:tcW w:type="dxa" w:w="3389"/>
            <w:shd w:fill="0B1020"/>
            <w:vAlign w:val="center"/>
          </w:tcPr>
          <w:p>
            <w:r>
              <w:rPr>
                <w:b/>
                <w:color w:val="FFFFFF"/>
                <w:sz w:val="19"/>
              </w:rPr>
              <w:t>Behavior</w:t>
            </w:r>
          </w:p>
        </w:tc>
      </w:tr>
      <w:tr>
        <w:tc>
          <w:tcPr>
            <w:tcW w:type="dxa" w:w="3389"/>
            <w:vAlign w:val="top"/>
            <w:tcMar>
              <w:top w:w="80" w:type="dxa"/>
              <w:start w:w="90" w:type="dxa"/>
              <w:bottom w:w="80" w:type="dxa"/>
              <w:end w:w="90" w:type="dxa"/>
            </w:tcMar>
          </w:tcPr>
          <w:p>
            <w:r>
              <w:rPr>
                <w:color w:val="111827"/>
                <w:sz w:val="18"/>
              </w:rPr>
              <w:t>ALLOW</w:t>
            </w:r>
          </w:p>
        </w:tc>
        <w:tc>
          <w:tcPr>
            <w:tcW w:type="dxa" w:w="3389"/>
            <w:vAlign w:val="top"/>
            <w:tcMar>
              <w:top w:w="80" w:type="dxa"/>
              <w:start w:w="90" w:type="dxa"/>
              <w:bottom w:w="80" w:type="dxa"/>
              <w:end w:w="90" w:type="dxa"/>
            </w:tcMar>
          </w:tcPr>
          <w:p>
            <w:r>
              <w:rPr>
                <w:color w:val="111827"/>
                <w:sz w:val="18"/>
              </w:rPr>
              <w:t>Conditions satisfy policy.</w:t>
            </w:r>
          </w:p>
        </w:tc>
        <w:tc>
          <w:tcPr>
            <w:tcW w:type="dxa" w:w="3389"/>
            <w:vAlign w:val="top"/>
            <w:tcMar>
              <w:top w:w="80" w:type="dxa"/>
              <w:start w:w="90" w:type="dxa"/>
              <w:bottom w:w="80" w:type="dxa"/>
              <w:end w:w="90" w:type="dxa"/>
            </w:tcMar>
          </w:tcPr>
          <w:p>
            <w:r>
              <w:rPr>
                <w:color w:val="111827"/>
                <w:sz w:val="18"/>
              </w:rPr>
              <w:t>Enables signing/execution and creates an attestation.</w:t>
            </w:r>
          </w:p>
        </w:tc>
      </w:tr>
      <w:tr>
        <w:tc>
          <w:tcPr>
            <w:tcW w:type="dxa" w:w="3389"/>
            <w:vAlign w:val="top"/>
            <w:tcMar>
              <w:top w:w="80" w:type="dxa"/>
              <w:start w:w="90" w:type="dxa"/>
              <w:bottom w:w="80" w:type="dxa"/>
              <w:end w:w="90" w:type="dxa"/>
            </w:tcMar>
          </w:tcPr>
          <w:p>
            <w:r>
              <w:rPr>
                <w:color w:val="111827"/>
                <w:sz w:val="18"/>
              </w:rPr>
              <w:t>WARN</w:t>
            </w:r>
          </w:p>
        </w:tc>
        <w:tc>
          <w:tcPr>
            <w:tcW w:type="dxa" w:w="3389"/>
            <w:vAlign w:val="top"/>
            <w:tcMar>
              <w:top w:w="80" w:type="dxa"/>
              <w:start w:w="90" w:type="dxa"/>
              <w:bottom w:w="80" w:type="dxa"/>
              <w:end w:w="90" w:type="dxa"/>
            </w:tcMar>
          </w:tcPr>
          <w:p>
            <w:r>
              <w:rPr>
                <w:color w:val="111827"/>
                <w:sz w:val="18"/>
              </w:rPr>
              <w:t>Non-critical risk or incomplete evidence.</w:t>
            </w:r>
          </w:p>
        </w:tc>
        <w:tc>
          <w:tcPr>
            <w:tcW w:type="dxa" w:w="3389"/>
            <w:vAlign w:val="top"/>
            <w:tcMar>
              <w:top w:w="80" w:type="dxa"/>
              <w:start w:w="90" w:type="dxa"/>
              <w:bottom w:w="80" w:type="dxa"/>
              <w:end w:w="90" w:type="dxa"/>
            </w:tcMar>
          </w:tcPr>
          <w:p>
            <w:r>
              <w:rPr>
                <w:color w:val="111827"/>
                <w:sz w:val="18"/>
              </w:rPr>
              <w:t>Requires reinforced confirmation or conservative limits.</w:t>
            </w:r>
          </w:p>
        </w:tc>
      </w:tr>
      <w:tr>
        <w:tc>
          <w:tcPr>
            <w:tcW w:type="dxa" w:w="3389"/>
            <w:vAlign w:val="top"/>
            <w:tcMar>
              <w:top w:w="80" w:type="dxa"/>
              <w:start w:w="90" w:type="dxa"/>
              <w:bottom w:w="80" w:type="dxa"/>
              <w:end w:w="90" w:type="dxa"/>
            </w:tcMar>
          </w:tcPr>
          <w:p>
            <w:r>
              <w:rPr>
                <w:color w:val="111827"/>
                <w:sz w:val="18"/>
              </w:rPr>
              <w:t>BLOCK</w:t>
            </w:r>
          </w:p>
        </w:tc>
        <w:tc>
          <w:tcPr>
            <w:tcW w:type="dxa" w:w="3389"/>
            <w:vAlign w:val="top"/>
            <w:tcMar>
              <w:top w:w="80" w:type="dxa"/>
              <w:start w:w="90" w:type="dxa"/>
              <w:bottom w:w="80" w:type="dxa"/>
              <w:end w:w="90" w:type="dxa"/>
            </w:tcMar>
          </w:tcPr>
          <w:p>
            <w:r>
              <w:rPr>
                <w:color w:val="111827"/>
                <w:sz w:val="18"/>
              </w:rPr>
              <w:t>Critical failure or policy violation.</w:t>
            </w:r>
          </w:p>
        </w:tc>
        <w:tc>
          <w:tcPr>
            <w:tcW w:type="dxa" w:w="3389"/>
            <w:vAlign w:val="top"/>
            <w:tcMar>
              <w:top w:w="80" w:type="dxa"/>
              <w:start w:w="90" w:type="dxa"/>
              <w:bottom w:w="80" w:type="dxa"/>
              <w:end w:w="90" w:type="dxa"/>
            </w:tcMar>
          </w:tcPr>
          <w:p>
            <w:r>
              <w:rPr>
                <w:color w:val="111827"/>
                <w:sz w:val="18"/>
              </w:rPr>
              <w:t>Disables execution and exposes the reasons.</w:t>
            </w:r>
          </w:p>
        </w:tc>
      </w:tr>
    </w:tbl>
    <w:p/>
    <w:p>
      <w:pPr>
        <w:pStyle w:val="Heading1"/>
      </w:pPr>
      <w:r>
        <w:t>8. End-to-end operating flow</w:t>
      </w:r>
    </w:p>
    <w:p>
      <w:pPr>
        <w:pStyle w:val="ListNumber"/>
      </w:pPr>
      <w:r>
        <w:t>The user selects a tokenized asset or pre-IPO opportunity.</w:t>
      </w:r>
    </w:p>
    <w:p>
      <w:pPr>
        <w:pStyle w:val="ListNumber"/>
      </w:pPr>
      <w:r>
        <w:t>StockShield resolves identity, mint, issuer, venue and reference data.</w:t>
      </w:r>
    </w:p>
    <w:p>
      <w:pPr>
        <w:pStyle w:val="ListNumber"/>
      </w:pPr>
      <w:r>
        <w:t>Pyth provides price, confidence, market session and freshness; PreStocks contributes metadata when applicable.</w:t>
      </w:r>
    </w:p>
    <w:p>
      <w:pPr>
        <w:pStyle w:val="ListNumber"/>
      </w:pPr>
      <w:r>
        <w:t>SWAT analyzes wallets, contracts, pools, tainted exposure, graphs and threats.</w:t>
      </w:r>
    </w:p>
    <w:p>
      <w:pPr>
        <w:pStyle w:val="ListNumber"/>
      </w:pPr>
      <w:r>
        <w:t>The liquidity engine calculates depth, slippage and expected market impact.</w:t>
      </w:r>
    </w:p>
    <w:p>
      <w:pPr>
        <w:pStyle w:val="ListNumber"/>
      </w:pPr>
      <w:r>
        <w:t>Execution Safety simulates the operation and evaluates MEV, sandwich risk and route quality.</w:t>
      </w:r>
    </w:p>
    <w:p>
      <w:pPr>
        <w:pStyle w:val="ListNumber"/>
      </w:pPr>
      <w:r>
        <w:t>The Policy Engine consolidates evidence and produces score + ALLOW/WARN/BLOCK.</w:t>
      </w:r>
    </w:p>
    <w:p>
      <w:pPr>
        <w:pStyle w:val="ListNumber"/>
      </w:pPr>
      <w:r>
        <w:t>The Meteora controller adapts DBC policy when the asset uses a dynamic bonding curve.</w:t>
      </w:r>
    </w:p>
    <w:p>
      <w:pPr>
        <w:pStyle w:val="ListNumber"/>
      </w:pPr>
      <w:r>
        <w:t>The UI enables or blocks signing according to policy.</w:t>
      </w:r>
    </w:p>
    <w:p>
      <w:pPr>
        <w:pStyle w:val="ListNumber"/>
      </w:pPr>
      <w:r>
        <w:t>Phantom signs the allowed operation and StockShield publishes a Solana attestation.</w:t>
      </w:r>
    </w:p>
    <w:p>
      <w:pPr>
        <w:pStyle w:val="ListNumber"/>
      </w:pPr>
      <w:r>
        <w:t>Signature, evidence hash and decision explanation remain available for audit.</w:t>
      </w:r>
    </w:p>
    <w:p>
      <w:pPr>
        <w:pStyle w:val="Heading1"/>
      </w:pPr>
      <w:r>
        <w:t>9. Risk-Adaptive DBC</w:t>
      </w:r>
    </w:p>
    <w:p>
      <w:r>
        <w:t>The Risk-Adaptive DBC controller turns security intelligence into market behavior. It does not rely on a single static curve; it deterministically adapts parameters to the state of the asset and its market.</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shd w:fill="0B1020"/>
            <w:vAlign w:val="center"/>
          </w:tcPr>
          <w:p>
            <w:r>
              <w:rPr>
                <w:b/>
                <w:color w:val="FFFFFF"/>
                <w:sz w:val="19"/>
              </w:rPr>
              <w:t>State</w:t>
            </w:r>
          </w:p>
        </w:tc>
        <w:tc>
          <w:tcPr>
            <w:tcW w:type="dxa" w:w="3389"/>
            <w:shd w:fill="0B1020"/>
            <w:vAlign w:val="center"/>
          </w:tcPr>
          <w:p>
            <w:r>
              <w:rPr>
                <w:b/>
                <w:color w:val="FFFFFF"/>
                <w:sz w:val="19"/>
              </w:rPr>
              <w:t>Typical condition</w:t>
            </w:r>
          </w:p>
        </w:tc>
        <w:tc>
          <w:tcPr>
            <w:tcW w:type="dxa" w:w="3389"/>
            <w:shd w:fill="0B1020"/>
            <w:vAlign w:val="center"/>
          </w:tcPr>
          <w:p>
            <w:r>
              <w:rPr>
                <w:b/>
                <w:color w:val="FFFFFF"/>
                <w:sz w:val="19"/>
              </w:rPr>
              <w:t>DBC policy</w:t>
            </w:r>
          </w:p>
        </w:tc>
      </w:tr>
      <w:tr>
        <w:tc>
          <w:tcPr>
            <w:tcW w:type="dxa" w:w="3389"/>
            <w:vAlign w:val="top"/>
            <w:tcMar>
              <w:top w:w="80" w:type="dxa"/>
              <w:start w:w="90" w:type="dxa"/>
              <w:bottom w:w="80" w:type="dxa"/>
              <w:end w:w="90" w:type="dxa"/>
            </w:tcMar>
          </w:tcPr>
          <w:p>
            <w:r>
              <w:rPr>
                <w:color w:val="111827"/>
                <w:sz w:val="18"/>
              </w:rPr>
              <w:t>NORMAL</w:t>
            </w:r>
          </w:p>
        </w:tc>
        <w:tc>
          <w:tcPr>
            <w:tcW w:type="dxa" w:w="3389"/>
            <w:vAlign w:val="top"/>
            <w:tcMar>
              <w:top w:w="80" w:type="dxa"/>
              <w:start w:w="90" w:type="dxa"/>
              <w:bottom w:w="80" w:type="dxa"/>
              <w:end w:w="90" w:type="dxa"/>
            </w:tcMar>
          </w:tcPr>
          <w:p>
            <w:r>
              <w:rPr>
                <w:color w:val="111827"/>
                <w:sz w:val="18"/>
              </w:rPr>
              <w:t>Strong integrity, healthy oracle, sufficient depth.</w:t>
            </w:r>
          </w:p>
        </w:tc>
        <w:tc>
          <w:tcPr>
            <w:tcW w:type="dxa" w:w="3389"/>
            <w:vAlign w:val="top"/>
            <w:tcMar>
              <w:top w:w="80" w:type="dxa"/>
              <w:start w:w="90" w:type="dxa"/>
              <w:bottom w:w="80" w:type="dxa"/>
              <w:end w:w="90" w:type="dxa"/>
            </w:tcMar>
          </w:tcPr>
          <w:p>
            <w:r>
              <w:rPr>
                <w:color w:val="111827"/>
                <w:sz w:val="18"/>
              </w:rPr>
              <w:t>Normal fee, standard curve, execution enabled.</w:t>
            </w:r>
          </w:p>
        </w:tc>
      </w:tr>
      <w:tr>
        <w:tc>
          <w:tcPr>
            <w:tcW w:type="dxa" w:w="3389"/>
            <w:vAlign w:val="top"/>
            <w:tcMar>
              <w:top w:w="80" w:type="dxa"/>
              <w:start w:w="90" w:type="dxa"/>
              <w:bottom w:w="80" w:type="dxa"/>
              <w:end w:w="90" w:type="dxa"/>
            </w:tcMar>
          </w:tcPr>
          <w:p>
            <w:r>
              <w:rPr>
                <w:color w:val="111827"/>
                <w:sz w:val="18"/>
              </w:rPr>
              <w:t>DEFENSIVE</w:t>
            </w:r>
          </w:p>
        </w:tc>
        <w:tc>
          <w:tcPr>
            <w:tcW w:type="dxa" w:w="3389"/>
            <w:vAlign w:val="top"/>
            <w:tcMar>
              <w:top w:w="80" w:type="dxa"/>
              <w:start w:w="90" w:type="dxa"/>
              <w:bottom w:w="80" w:type="dxa"/>
              <w:end w:w="90" w:type="dxa"/>
            </w:tcMar>
          </w:tcPr>
          <w:p>
            <w:r>
              <w:rPr>
                <w:color w:val="111827"/>
                <w:sz w:val="18"/>
              </w:rPr>
              <w:t>Moderate divergence, higher volatility or weaker liquidity.</w:t>
            </w:r>
          </w:p>
        </w:tc>
        <w:tc>
          <w:tcPr>
            <w:tcW w:type="dxa" w:w="3389"/>
            <w:vAlign w:val="top"/>
            <w:tcMar>
              <w:top w:w="80" w:type="dxa"/>
              <w:start w:w="90" w:type="dxa"/>
              <w:bottom w:w="80" w:type="dxa"/>
              <w:end w:w="90" w:type="dxa"/>
            </w:tcMar>
          </w:tcPr>
          <w:p>
            <w:r>
              <w:rPr>
                <w:color w:val="111827"/>
                <w:sz w:val="18"/>
              </w:rPr>
              <w:t>Higher fee, conservative limits, stronger execution protection.</w:t>
            </w:r>
          </w:p>
        </w:tc>
      </w:tr>
      <w:tr>
        <w:tc>
          <w:tcPr>
            <w:tcW w:type="dxa" w:w="3389"/>
            <w:vAlign w:val="top"/>
            <w:tcMar>
              <w:top w:w="80" w:type="dxa"/>
              <w:start w:w="90" w:type="dxa"/>
              <w:bottom w:w="80" w:type="dxa"/>
              <w:end w:w="90" w:type="dxa"/>
            </w:tcMar>
          </w:tcPr>
          <w:p>
            <w:r>
              <w:rPr>
                <w:color w:val="111827"/>
                <w:sz w:val="18"/>
              </w:rPr>
              <w:t>CRITICAL</w:t>
            </w:r>
          </w:p>
        </w:tc>
        <w:tc>
          <w:tcPr>
            <w:tcW w:type="dxa" w:w="3389"/>
            <w:vAlign w:val="top"/>
            <w:tcMar>
              <w:top w:w="80" w:type="dxa"/>
              <w:start w:w="90" w:type="dxa"/>
              <w:bottom w:w="80" w:type="dxa"/>
              <w:end w:w="90" w:type="dxa"/>
            </w:tcMar>
          </w:tcPr>
          <w:p>
            <w:r>
              <w:rPr>
                <w:color w:val="111827"/>
                <w:sz w:val="18"/>
              </w:rPr>
              <w:t>Integrity failure, stale oracle, suspicious activity or manipulation.</w:t>
            </w:r>
          </w:p>
        </w:tc>
        <w:tc>
          <w:tcPr>
            <w:tcW w:type="dxa" w:w="3389"/>
            <w:vAlign w:val="top"/>
            <w:tcMar>
              <w:top w:w="80" w:type="dxa"/>
              <w:start w:w="90" w:type="dxa"/>
              <w:bottom w:w="80" w:type="dxa"/>
              <w:end w:w="90" w:type="dxa"/>
            </w:tcMar>
          </w:tcPr>
          <w:p>
            <w:r>
              <w:rPr>
                <w:color w:val="111827"/>
                <w:sz w:val="18"/>
              </w:rPr>
              <w:t>BLOCK gate, operational alert and StockShield-side execution halt.</w:t>
            </w:r>
          </w:p>
        </w:tc>
      </w:tr>
    </w:tbl>
    <w:p/>
    <w:p>
      <w:pPr>
        <w:pStyle w:val="Heading1"/>
      </w:pPr>
      <w:r>
        <w:t>10. Forensic intelligence and graphs</w:t>
      </w:r>
    </w:p>
    <w:p>
      <w:r>
        <w:t>StockShield can traverse from the asset and pool into related wallets to explain where risk originates. The graph connects mint, issuer, pool, LPs, market makers, wallets, contracts and clusters detected by SWAT.</w:t>
      </w:r>
    </w:p>
    <w:p>
      <w:pPr>
        <w:pStyle w:val="ListBullet"/>
      </w:pPr>
      <w:r>
        <w:t>Configurable relationship depth.</w:t>
      </w:r>
    </w:p>
    <w:p>
      <w:pPr>
        <w:pStyle w:val="ListBullet"/>
      </w:pPr>
      <w:r>
        <w:t>Traceability toward origin wallets or relevant clusters.</w:t>
      </w:r>
    </w:p>
    <w:p>
      <w:pPr>
        <w:pStyle w:val="ListBullet"/>
      </w:pPr>
      <w:r>
        <w:t>Visual marking of tainted exposure.</w:t>
      </w:r>
    </w:p>
    <w:p>
      <w:pPr>
        <w:pStyle w:val="ListBullet"/>
      </w:pPr>
      <w:r>
        <w:t>Clear separation of observed evidence, inference and risk signal.</w:t>
      </w:r>
    </w:p>
    <w:p>
      <w:pPr>
        <w:pStyle w:val="ListBullet"/>
      </w:pPr>
      <w:r>
        <w:t>Verifiable explorer links for addresses and transactions.</w:t>
      </w:r>
    </w:p>
    <w:p>
      <w:pPr>
        <w:pStyle w:val="ListBullet"/>
      </w:pPr>
      <w:r>
        <w:t>Temporal correlation to distinguish causal proximity from simple association.</w:t>
      </w:r>
    </w:p>
    <w:p>
      <w:pPr>
        <w:pStyle w:val="Heading1"/>
      </w:pPr>
      <w:r>
        <w:t>11. API and middleware use</w:t>
      </w:r>
    </w:p>
    <w:p>
      <w:pPr>
        <w:pStyle w:val="CodeBlock"/>
        <w:shd w:fill="F3F5FA"/>
      </w:pPr>
      <w:r>
        <w:t>GET  /v1/assets/{mint}/risk</w:t>
        <w:br/>
        <w:t>GET  /v1/assets/{mint}/price-integrity</w:t>
        <w:br/>
        <w:t>GET  /v1/pools/{address}/health</w:t>
        <w:br/>
        <w:t>GET  /v1/wallets/{address}/exposure</w:t>
        <w:br/>
        <w:t>GET  /v1/threats/{asset}</w:t>
        <w:br/>
        <w:t>POST /v1/pre-trade</w:t>
        <w:br/>
        <w:t>POST /v1/attestations</w:t>
        <w:br/>
        <w:t>POST /v1/meteora/dbc/policy</w:t>
      </w:r>
    </w:p>
    <w:p>
      <w:r>
        <w:t>The API returns normalized evidence, score, decision, reasons, timestamps, policy version and evidence hash. This allows StockShield to be embedded into wallets, brokers, DEXs, institutional backends and automated workflows without depending on the web UI.</w:t>
      </w:r>
    </w:p>
    <w:p>
      <w:pPr>
        <w:pStyle w:val="Heading1"/>
      </w:pPr>
      <w:r>
        <w:t>12. System security</w:t>
      </w:r>
    </w:p>
    <w:p>
      <w:pPr>
        <w:pStyle w:val="ListBullet"/>
      </w:pPr>
      <w:r>
        <w:t>Pyth and SWAT credentials remain server-side only.</w:t>
      </w:r>
    </w:p>
    <w:p>
      <w:pPr>
        <w:pStyle w:val="ListBullet"/>
      </w:pPr>
      <w:r>
        <w:t>Strict separation between public data and operational secrets.</w:t>
      </w:r>
    </w:p>
    <w:p>
      <w:pPr>
        <w:pStyle w:val="ListBullet"/>
      </w:pPr>
      <w:r>
        <w:t>Reproducible, versioned policies to avoid opaque decisions.</w:t>
      </w:r>
    </w:p>
    <w:p>
      <w:pPr>
        <w:pStyle w:val="ListBullet"/>
      </w:pPr>
      <w:r>
        <w:t>Evidence hashes to prove integrity of the signal set used for a decision.</w:t>
      </w:r>
    </w:p>
    <w:p>
      <w:pPr>
        <w:pStyle w:val="ListBullet"/>
      </w:pPr>
      <w:r>
        <w:t>Verifiable signatures and transactions on Solana.</w:t>
      </w:r>
    </w:p>
    <w:p>
      <w:pPr>
        <w:pStyle w:val="ListBullet"/>
      </w:pPr>
      <w:r>
        <w:t>Labeled fallbacks: synthetic/degraded data is explicitly identified and never presented as live.</w:t>
      </w:r>
    </w:p>
    <w:p>
      <w:pPr>
        <w:pStyle w:val="ListBullet"/>
      </w:pPr>
      <w:r>
        <w:t>Rate limiting, API-key authentication and B2B access profiles.</w:t>
      </w:r>
    </w:p>
    <w:p>
      <w:pPr>
        <w:pStyle w:val="ListBullet"/>
      </w:pPr>
      <w:r>
        <w:t>Observability for latency, provider errors, oracle state and source degradation.</w:t>
      </w:r>
    </w:p>
    <w:p>
      <w:pPr>
        <w:pStyle w:val="Heading1"/>
      </w:pPr>
      <w:r>
        <w:t>13. Observability and operations</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shd w:fill="0B1020"/>
            <w:vAlign w:val="center"/>
          </w:tcPr>
          <w:p>
            <w:r>
              <w:rPr>
                <w:b/>
                <w:color w:val="FFFFFF"/>
                <w:sz w:val="19"/>
              </w:rPr>
              <w:t>Indicator</w:t>
            </w:r>
          </w:p>
        </w:tc>
        <w:tc>
          <w:tcPr>
            <w:tcW w:type="dxa" w:w="5083"/>
            <w:shd w:fill="0B1020"/>
            <w:vAlign w:val="center"/>
          </w:tcPr>
          <w:p>
            <w:r>
              <w:rPr>
                <w:b/>
                <w:color w:val="FFFFFF"/>
                <w:sz w:val="19"/>
              </w:rPr>
              <w:t>Operational objective</w:t>
            </w:r>
          </w:p>
        </w:tc>
      </w:tr>
      <w:tr>
        <w:tc>
          <w:tcPr>
            <w:tcW w:type="dxa" w:w="5083"/>
            <w:vAlign w:val="top"/>
            <w:tcMar>
              <w:top w:w="80" w:type="dxa"/>
              <w:start w:w="90" w:type="dxa"/>
              <w:bottom w:w="80" w:type="dxa"/>
              <w:end w:w="90" w:type="dxa"/>
            </w:tcMar>
          </w:tcPr>
          <w:p>
            <w:r>
              <w:rPr>
                <w:color w:val="111827"/>
                <w:sz w:val="18"/>
              </w:rPr>
              <w:t>Core status</w:t>
            </w:r>
          </w:p>
        </w:tc>
        <w:tc>
          <w:tcPr>
            <w:tcW w:type="dxa" w:w="5083"/>
            <w:vAlign w:val="top"/>
            <w:tcMar>
              <w:top w:w="80" w:type="dxa"/>
              <w:start w:w="90" w:type="dxa"/>
              <w:bottom w:w="80" w:type="dxa"/>
              <w:end w:w="90" w:type="dxa"/>
            </w:tcMar>
          </w:tcPr>
          <w:p>
            <w:r>
              <w:rPr>
                <w:color w:val="111827"/>
                <w:sz w:val="18"/>
              </w:rPr>
              <w:t>LIVE / DEGRADED / OFFLINE by provider.</w:t>
            </w:r>
          </w:p>
        </w:tc>
      </w:tr>
      <w:tr>
        <w:tc>
          <w:tcPr>
            <w:tcW w:type="dxa" w:w="5083"/>
            <w:vAlign w:val="top"/>
            <w:tcMar>
              <w:top w:w="80" w:type="dxa"/>
              <w:start w:w="90" w:type="dxa"/>
              <w:bottom w:w="80" w:type="dxa"/>
              <w:end w:w="90" w:type="dxa"/>
            </w:tcMar>
          </w:tcPr>
          <w:p>
            <w:r>
              <w:rPr>
                <w:color w:val="111827"/>
                <w:sz w:val="18"/>
              </w:rPr>
              <w:t>Data freshness</w:t>
            </w:r>
          </w:p>
        </w:tc>
        <w:tc>
          <w:tcPr>
            <w:tcW w:type="dxa" w:w="5083"/>
            <w:vAlign w:val="top"/>
            <w:tcMar>
              <w:top w:w="80" w:type="dxa"/>
              <w:start w:w="90" w:type="dxa"/>
              <w:bottom w:w="80" w:type="dxa"/>
              <w:end w:w="90" w:type="dxa"/>
            </w:tcMar>
          </w:tcPr>
          <w:p>
            <w:r>
              <w:rPr>
                <w:color w:val="111827"/>
                <w:sz w:val="18"/>
              </w:rPr>
              <w:t>Age and last update for each feed.</w:t>
            </w:r>
          </w:p>
        </w:tc>
      </w:tr>
      <w:tr>
        <w:tc>
          <w:tcPr>
            <w:tcW w:type="dxa" w:w="5083"/>
            <w:vAlign w:val="top"/>
            <w:tcMar>
              <w:top w:w="80" w:type="dxa"/>
              <w:start w:w="90" w:type="dxa"/>
              <w:bottom w:w="80" w:type="dxa"/>
              <w:end w:w="90" w:type="dxa"/>
            </w:tcMar>
          </w:tcPr>
          <w:p>
            <w:r>
              <w:rPr>
                <w:color w:val="111827"/>
                <w:sz w:val="18"/>
              </w:rPr>
              <w:t>Decision latency</w:t>
            </w:r>
          </w:p>
        </w:tc>
        <w:tc>
          <w:tcPr>
            <w:tcW w:type="dxa" w:w="5083"/>
            <w:vAlign w:val="top"/>
            <w:tcMar>
              <w:top w:w="80" w:type="dxa"/>
              <w:start w:w="90" w:type="dxa"/>
              <w:bottom w:w="80" w:type="dxa"/>
              <w:end w:w="90" w:type="dxa"/>
            </w:tcMar>
          </w:tcPr>
          <w:p>
            <w:r>
              <w:rPr>
                <w:color w:val="111827"/>
                <w:sz w:val="18"/>
              </w:rPr>
              <w:t>End-to-end time from request to policy result.</w:t>
            </w:r>
          </w:p>
        </w:tc>
      </w:tr>
      <w:tr>
        <w:tc>
          <w:tcPr>
            <w:tcW w:type="dxa" w:w="5083"/>
            <w:vAlign w:val="top"/>
            <w:tcMar>
              <w:top w:w="80" w:type="dxa"/>
              <w:start w:w="90" w:type="dxa"/>
              <w:bottom w:w="80" w:type="dxa"/>
              <w:end w:w="90" w:type="dxa"/>
            </w:tcMar>
          </w:tcPr>
          <w:p>
            <w:r>
              <w:rPr>
                <w:color w:val="111827"/>
                <w:sz w:val="18"/>
              </w:rPr>
              <w:t>Provider errors</w:t>
            </w:r>
          </w:p>
        </w:tc>
        <w:tc>
          <w:tcPr>
            <w:tcW w:type="dxa" w:w="5083"/>
            <w:vAlign w:val="top"/>
            <w:tcMar>
              <w:top w:w="80" w:type="dxa"/>
              <w:start w:w="90" w:type="dxa"/>
              <w:bottom w:w="80" w:type="dxa"/>
              <w:end w:w="90" w:type="dxa"/>
            </w:tcMar>
          </w:tcPr>
          <w:p>
            <w:r>
              <w:rPr>
                <w:color w:val="111827"/>
                <w:sz w:val="18"/>
              </w:rPr>
              <w:t>Separate Pyth, PreStocks, SWAT, RPC and Meteora telemetry.</w:t>
            </w:r>
          </w:p>
        </w:tc>
      </w:tr>
      <w:tr>
        <w:tc>
          <w:tcPr>
            <w:tcW w:type="dxa" w:w="5083"/>
            <w:vAlign w:val="top"/>
            <w:tcMar>
              <w:top w:w="80" w:type="dxa"/>
              <w:start w:w="90" w:type="dxa"/>
              <w:bottom w:w="80" w:type="dxa"/>
              <w:end w:w="90" w:type="dxa"/>
            </w:tcMar>
          </w:tcPr>
          <w:p>
            <w:r>
              <w:rPr>
                <w:color w:val="111827"/>
                <w:sz w:val="18"/>
              </w:rPr>
              <w:t>Risk drift</w:t>
            </w:r>
          </w:p>
        </w:tc>
        <w:tc>
          <w:tcPr>
            <w:tcW w:type="dxa" w:w="5083"/>
            <w:vAlign w:val="top"/>
            <w:tcMar>
              <w:top w:w="80" w:type="dxa"/>
              <w:start w:w="90" w:type="dxa"/>
              <w:bottom w:w="80" w:type="dxa"/>
              <w:end w:w="90" w:type="dxa"/>
            </w:tcMar>
          </w:tcPr>
          <w:p>
            <w:r>
              <w:rPr>
                <w:color w:val="111827"/>
                <w:sz w:val="18"/>
              </w:rPr>
              <w:t>Score/component changes over time.</w:t>
            </w:r>
          </w:p>
        </w:tc>
      </w:tr>
      <w:tr>
        <w:tc>
          <w:tcPr>
            <w:tcW w:type="dxa" w:w="5083"/>
            <w:vAlign w:val="top"/>
            <w:tcMar>
              <w:top w:w="80" w:type="dxa"/>
              <w:start w:w="90" w:type="dxa"/>
              <w:bottom w:w="80" w:type="dxa"/>
              <w:end w:w="90" w:type="dxa"/>
            </w:tcMar>
          </w:tcPr>
          <w:p>
            <w:r>
              <w:rPr>
                <w:color w:val="111827"/>
                <w:sz w:val="18"/>
              </w:rPr>
              <w:t>Blocked trades</w:t>
            </w:r>
          </w:p>
        </w:tc>
        <w:tc>
          <w:tcPr>
            <w:tcW w:type="dxa" w:w="5083"/>
            <w:vAlign w:val="top"/>
            <w:tcMar>
              <w:top w:w="80" w:type="dxa"/>
              <w:start w:w="90" w:type="dxa"/>
              <w:bottom w:w="80" w:type="dxa"/>
              <w:end w:w="90" w:type="dxa"/>
            </w:tcMar>
          </w:tcPr>
          <w:p>
            <w:r>
              <w:rPr>
                <w:color w:val="111827"/>
                <w:sz w:val="18"/>
              </w:rPr>
              <w:t>Cause, asset, policy version and evidence.</w:t>
            </w:r>
          </w:p>
        </w:tc>
      </w:tr>
      <w:tr>
        <w:tc>
          <w:tcPr>
            <w:tcW w:type="dxa" w:w="5083"/>
            <w:vAlign w:val="top"/>
            <w:tcMar>
              <w:top w:w="80" w:type="dxa"/>
              <w:start w:w="90" w:type="dxa"/>
              <w:bottom w:w="80" w:type="dxa"/>
              <w:end w:w="90" w:type="dxa"/>
            </w:tcMar>
          </w:tcPr>
          <w:p>
            <w:r>
              <w:rPr>
                <w:color w:val="111827"/>
                <w:sz w:val="18"/>
              </w:rPr>
              <w:t>Attestation status</w:t>
            </w:r>
          </w:p>
        </w:tc>
        <w:tc>
          <w:tcPr>
            <w:tcW w:type="dxa" w:w="5083"/>
            <w:vAlign w:val="top"/>
            <w:tcMar>
              <w:top w:w="80" w:type="dxa"/>
              <w:start w:w="90" w:type="dxa"/>
              <w:bottom w:w="80" w:type="dxa"/>
              <w:end w:w="90" w:type="dxa"/>
            </w:tcMar>
          </w:tcPr>
          <w:p>
            <w:r>
              <w:rPr>
                <w:color w:val="111827"/>
                <w:sz w:val="18"/>
              </w:rPr>
              <w:t>Signature, cluster, slot and explorer reference.</w:t>
            </w:r>
          </w:p>
        </w:tc>
      </w:tr>
    </w:tbl>
    <w:p/>
    <w:p>
      <w:pPr>
        <w:pStyle w:val="Heading1"/>
      </w:pPr>
      <w:r>
        <w:t>14. Use cases</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shd w:fill="0B1020"/>
            <w:vAlign w:val="center"/>
          </w:tcPr>
          <w:p>
            <w:r>
              <w:rPr>
                <w:b/>
                <w:color w:val="FFFFFF"/>
                <w:sz w:val="19"/>
              </w:rPr>
              <w:t>Use case</w:t>
            </w:r>
          </w:p>
        </w:tc>
        <w:tc>
          <w:tcPr>
            <w:tcW w:type="dxa" w:w="5083"/>
            <w:shd w:fill="0B1020"/>
            <w:vAlign w:val="center"/>
          </w:tcPr>
          <w:p>
            <w:r>
              <w:rPr>
                <w:b/>
                <w:color w:val="FFFFFF"/>
                <w:sz w:val="19"/>
              </w:rPr>
              <w:t>How StockShield acts</w:t>
            </w:r>
          </w:p>
        </w:tc>
      </w:tr>
      <w:tr>
        <w:tc>
          <w:tcPr>
            <w:tcW w:type="dxa" w:w="5083"/>
            <w:vAlign w:val="top"/>
            <w:tcMar>
              <w:top w:w="80" w:type="dxa"/>
              <w:start w:w="90" w:type="dxa"/>
              <w:bottom w:w="80" w:type="dxa"/>
              <w:end w:w="90" w:type="dxa"/>
            </w:tcMar>
          </w:tcPr>
          <w:p>
            <w:r>
              <w:rPr>
                <w:color w:val="111827"/>
                <w:sz w:val="18"/>
              </w:rPr>
              <w:t>Tokenized equity purchase</w:t>
            </w:r>
          </w:p>
        </w:tc>
        <w:tc>
          <w:tcPr>
            <w:tcW w:type="dxa" w:w="5083"/>
            <w:vAlign w:val="top"/>
            <w:tcMar>
              <w:top w:w="80" w:type="dxa"/>
              <w:start w:w="90" w:type="dxa"/>
              <w:bottom w:w="80" w:type="dxa"/>
              <w:end w:w="90" w:type="dxa"/>
            </w:tcMar>
          </w:tcPr>
          <w:p>
            <w:r>
              <w:rPr>
                <w:color w:val="111827"/>
                <w:sz w:val="18"/>
              </w:rPr>
              <w:t>Validates price, oracle, pool, wallet risk and route before signing.</w:t>
            </w:r>
          </w:p>
        </w:tc>
      </w:tr>
      <w:tr>
        <w:tc>
          <w:tcPr>
            <w:tcW w:type="dxa" w:w="5083"/>
            <w:vAlign w:val="top"/>
            <w:tcMar>
              <w:top w:w="80" w:type="dxa"/>
              <w:start w:w="90" w:type="dxa"/>
              <w:bottom w:w="80" w:type="dxa"/>
              <w:end w:w="90" w:type="dxa"/>
            </w:tcMar>
          </w:tcPr>
          <w:p>
            <w:r>
              <w:rPr>
                <w:color w:val="111827"/>
                <w:sz w:val="18"/>
              </w:rPr>
              <w:t>Pre-IPO trading</w:t>
            </w:r>
          </w:p>
        </w:tc>
        <w:tc>
          <w:tcPr>
            <w:tcW w:type="dxa" w:w="5083"/>
            <w:vAlign w:val="top"/>
            <w:tcMar>
              <w:top w:w="80" w:type="dxa"/>
              <w:start w:w="90" w:type="dxa"/>
              <w:bottom w:w="80" w:type="dxa"/>
              <w:end w:w="90" w:type="dxa"/>
            </w:tcMar>
          </w:tcPr>
          <w:p>
            <w:r>
              <w:rPr>
                <w:color w:val="111827"/>
                <w:sz w:val="18"/>
              </w:rPr>
              <w:t>Compares token price, valuation, liquidity and risk signals.</w:t>
            </w:r>
          </w:p>
        </w:tc>
      </w:tr>
      <w:tr>
        <w:tc>
          <w:tcPr>
            <w:tcW w:type="dxa" w:w="5083"/>
            <w:vAlign w:val="top"/>
            <w:tcMar>
              <w:top w:w="80" w:type="dxa"/>
              <w:start w:w="90" w:type="dxa"/>
              <w:bottom w:w="80" w:type="dxa"/>
              <w:end w:w="90" w:type="dxa"/>
            </w:tcMar>
          </w:tcPr>
          <w:p>
            <w:r>
              <w:rPr>
                <w:color w:val="111827"/>
                <w:sz w:val="18"/>
              </w:rPr>
              <w:t>Consumer wallet</w:t>
            </w:r>
          </w:p>
        </w:tc>
        <w:tc>
          <w:tcPr>
            <w:tcW w:type="dxa" w:w="5083"/>
            <w:vAlign w:val="top"/>
            <w:tcMar>
              <w:top w:w="80" w:type="dxa"/>
              <w:start w:w="90" w:type="dxa"/>
              <w:bottom w:w="80" w:type="dxa"/>
              <w:end w:w="90" w:type="dxa"/>
            </w:tcMar>
          </w:tcPr>
          <w:p>
            <w:r>
              <w:rPr>
                <w:color w:val="111827"/>
                <w:sz w:val="18"/>
              </w:rPr>
              <w:t>Adds an automatic check when the user taps Swap/Buy.</w:t>
            </w:r>
          </w:p>
        </w:tc>
      </w:tr>
      <w:tr>
        <w:tc>
          <w:tcPr>
            <w:tcW w:type="dxa" w:w="5083"/>
            <w:vAlign w:val="top"/>
            <w:tcMar>
              <w:top w:w="80" w:type="dxa"/>
              <w:start w:w="90" w:type="dxa"/>
              <w:bottom w:w="80" w:type="dxa"/>
              <w:end w:w="90" w:type="dxa"/>
            </w:tcMar>
          </w:tcPr>
          <w:p>
            <w:r>
              <w:rPr>
                <w:color w:val="111827"/>
                <w:sz w:val="18"/>
              </w:rPr>
              <w:t>DEX / pool</w:t>
            </w:r>
          </w:p>
        </w:tc>
        <w:tc>
          <w:tcPr>
            <w:tcW w:type="dxa" w:w="5083"/>
            <w:vAlign w:val="top"/>
            <w:tcMar>
              <w:top w:w="80" w:type="dxa"/>
              <w:start w:w="90" w:type="dxa"/>
              <w:bottom w:w="80" w:type="dxa"/>
              <w:end w:w="90" w:type="dxa"/>
            </w:tcMar>
          </w:tcPr>
          <w:p>
            <w:r>
              <w:rPr>
                <w:color w:val="111827"/>
                <w:sz w:val="18"/>
              </w:rPr>
              <w:t>Monitors manipulation/concentration and adapts DBC policy.</w:t>
            </w:r>
          </w:p>
        </w:tc>
      </w:tr>
      <w:tr>
        <w:tc>
          <w:tcPr>
            <w:tcW w:type="dxa" w:w="5083"/>
            <w:vAlign w:val="top"/>
            <w:tcMar>
              <w:top w:w="80" w:type="dxa"/>
              <w:start w:w="90" w:type="dxa"/>
              <w:bottom w:w="80" w:type="dxa"/>
              <w:end w:w="90" w:type="dxa"/>
            </w:tcMar>
          </w:tcPr>
          <w:p>
            <w:r>
              <w:rPr>
                <w:color w:val="111827"/>
                <w:sz w:val="18"/>
              </w:rPr>
              <w:t>Institutional desk</w:t>
            </w:r>
          </w:p>
        </w:tc>
        <w:tc>
          <w:tcPr>
            <w:tcW w:type="dxa" w:w="5083"/>
            <w:vAlign w:val="top"/>
            <w:tcMar>
              <w:top w:w="80" w:type="dxa"/>
              <w:start w:w="90" w:type="dxa"/>
              <w:bottom w:w="80" w:type="dxa"/>
              <w:end w:w="90" w:type="dxa"/>
            </w:tcMar>
          </w:tcPr>
          <w:p>
            <w:r>
              <w:rPr>
                <w:color w:val="111827"/>
                <w:sz w:val="18"/>
              </w:rPr>
              <w:t>Applies custom policy, retains evidence and automates limits.</w:t>
            </w:r>
          </w:p>
        </w:tc>
      </w:tr>
      <w:tr>
        <w:tc>
          <w:tcPr>
            <w:tcW w:type="dxa" w:w="5083"/>
            <w:vAlign w:val="top"/>
            <w:tcMar>
              <w:top w:w="80" w:type="dxa"/>
              <w:start w:w="90" w:type="dxa"/>
              <w:bottom w:w="80" w:type="dxa"/>
              <w:end w:w="90" w:type="dxa"/>
            </w:tcMar>
          </w:tcPr>
          <w:p>
            <w:r>
              <w:rPr>
                <w:color w:val="111827"/>
                <w:sz w:val="18"/>
              </w:rPr>
              <w:t>Issuer</w:t>
            </w:r>
          </w:p>
        </w:tc>
        <w:tc>
          <w:tcPr>
            <w:tcW w:type="dxa" w:w="5083"/>
            <w:vAlign w:val="top"/>
            <w:tcMar>
              <w:top w:w="80" w:type="dxa"/>
              <w:start w:w="90" w:type="dxa"/>
              <w:bottom w:w="80" w:type="dxa"/>
              <w:end w:w="90" w:type="dxa"/>
            </w:tcMar>
          </w:tcPr>
          <w:p>
            <w:r>
              <w:rPr>
                <w:color w:val="111827"/>
                <w:sz w:val="18"/>
              </w:rPr>
              <w:t>Monitors token stability and secondary-market quality.</w:t>
            </w:r>
          </w:p>
        </w:tc>
      </w:tr>
      <w:tr>
        <w:tc>
          <w:tcPr>
            <w:tcW w:type="dxa" w:w="5083"/>
            <w:vAlign w:val="top"/>
            <w:tcMar>
              <w:top w:w="80" w:type="dxa"/>
              <w:start w:w="90" w:type="dxa"/>
              <w:bottom w:w="80" w:type="dxa"/>
              <w:end w:w="90" w:type="dxa"/>
            </w:tcMar>
          </w:tcPr>
          <w:p>
            <w:r>
              <w:rPr>
                <w:color w:val="111827"/>
                <w:sz w:val="18"/>
              </w:rPr>
              <w:t>Forensic investigation</w:t>
            </w:r>
          </w:p>
        </w:tc>
        <w:tc>
          <w:tcPr>
            <w:tcW w:type="dxa" w:w="5083"/>
            <w:vAlign w:val="top"/>
            <w:tcMar>
              <w:top w:w="80" w:type="dxa"/>
              <w:start w:w="90" w:type="dxa"/>
              <w:bottom w:w="80" w:type="dxa"/>
              <w:end w:w="90" w:type="dxa"/>
            </w:tcMar>
          </w:tcPr>
          <w:p>
            <w:r>
              <w:rPr>
                <w:color w:val="111827"/>
                <w:sz w:val="18"/>
              </w:rPr>
              <w:t>Explores graphs and the origin of risk from asset/pool into wallets.</w:t>
            </w:r>
          </w:p>
        </w:tc>
      </w:tr>
    </w:tbl>
    <w:p/>
    <w:p>
      <w:pPr>
        <w:pStyle w:val="Heading1"/>
      </w:pPr>
      <w:r>
        <w:t>15. Demonstration experience</w:t>
      </w:r>
    </w:p>
    <w:p>
      <w:r>
        <w:t>The primary demo is designed so the value is understood in under three minutes. It first shows a healthy asset with an ALLOW decision and on-chain proof. ATTACK MODE then injects a clearly labeled synthetic anomaly; the score drops, reasons are exposed and the system automatically changes to BLOCK.</w:t>
      </w:r>
    </w:p>
    <w:p>
      <w:pPr>
        <w:pStyle w:val="CodeBlock"/>
        <w:shd w:fill="F3F5FA"/>
      </w:pPr>
      <w:r>
        <w:t>HEALTHY MARKET</w:t>
        <w:br/>
        <w:t>StockShield Score: 94 / 100</w:t>
        <w:br/>
        <w:t>Decision: ALLOW</w:t>
        <w:br/>
        <w:t>Action: SIGN + ATTEST</w:t>
        <w:br/>
        <w:br/>
        <w:t>ATTACK MODE</w:t>
        <w:br/>
        <w:t>Price divergence: 6.93%</w:t>
        <w:br/>
        <w:t>Suspicious exposure: 8.5%</w:t>
        <w:br/>
        <w:t>Threat score: 88</w:t>
        <w:br/>
        <w:t>StockShield Score: 47 / 100</w:t>
        <w:br/>
        <w:t>Decision: BLOCK</w:t>
        <w:br/>
        <w:t>Action: TRADE DISABLED</w:t>
      </w:r>
    </w:p>
    <w:p>
      <w:pPr>
        <w:pStyle w:val="Heading1"/>
      </w:pPr>
      <w:r>
        <w:t>16. Stocklana positioning</w:t>
      </w:r>
    </w:p>
    <w:p>
      <w:r>
        <w:t>StockShield targets the trust infrastructure of tokenized capital markets. Its differentiation is not the display of stocks; it transforms Pyth, Solana, Meteora, PreStocks and SWAT into an enforceable security policy at the exact point before signing.</w:t>
      </w:r>
    </w:p>
    <w:p>
      <w:pPr>
        <w:pStyle w:val="ListBullet"/>
      </w:pPr>
      <w:r>
        <w:t>Main Track: security and execution infrastructure for tokenized capital markets.</w:t>
      </w:r>
    </w:p>
    <w:p>
      <w:pPr>
        <w:pStyle w:val="ListBullet"/>
      </w:pPr>
      <w:r>
        <w:t>Pyth: market data directly affects ALLOW/WARN/BLOCK.</w:t>
      </w:r>
    </w:p>
    <w:p>
      <w:pPr>
        <w:pStyle w:val="ListBullet"/>
      </w:pPr>
      <w:r>
        <w:t>PreStocks: intelligence for tokenized pre-IPO assets.</w:t>
      </w:r>
    </w:p>
    <w:p>
      <w:pPr>
        <w:pStyle w:val="ListBullet"/>
      </w:pPr>
      <w:r>
        <w:t>Meteora: risk-adaptive DBC policy driven by market integrity.</w:t>
      </w:r>
    </w:p>
    <w:p>
      <w:pPr>
        <w:pStyle w:val="ListBullet"/>
      </w:pPr>
      <w:r>
        <w:t>Solana: execution, verifiability and on-chain attestation.</w:t>
      </w:r>
    </w:p>
    <w:p>
      <w:r>
        <w:br w:type="page"/>
      </w:r>
    </w:p>
    <w:p>
      <w:pPr>
        <w:pStyle w:val="Heading1"/>
      </w:pPr>
      <w:r>
        <w:t>17. Commercial model</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shd w:fill="0B1020"/>
            <w:vAlign w:val="center"/>
          </w:tcPr>
          <w:p>
            <w:r>
              <w:rPr>
                <w:b/>
                <w:color w:val="FFFFFF"/>
                <w:sz w:val="19"/>
              </w:rPr>
              <w:t>Model</w:t>
            </w:r>
          </w:p>
        </w:tc>
        <w:tc>
          <w:tcPr>
            <w:tcW w:type="dxa" w:w="3389"/>
            <w:shd w:fill="0B1020"/>
            <w:vAlign w:val="center"/>
          </w:tcPr>
          <w:p>
            <w:r>
              <w:rPr>
                <w:b/>
                <w:color w:val="FFFFFF"/>
                <w:sz w:val="19"/>
              </w:rPr>
              <w:t>Customer</w:t>
            </w:r>
          </w:p>
        </w:tc>
        <w:tc>
          <w:tcPr>
            <w:tcW w:type="dxa" w:w="3389"/>
            <w:shd w:fill="0B1020"/>
            <w:vAlign w:val="center"/>
          </w:tcPr>
          <w:p>
            <w:r>
              <w:rPr>
                <w:b/>
                <w:color w:val="FFFFFF"/>
                <w:sz w:val="19"/>
              </w:rPr>
              <w:t>Value unit</w:t>
            </w:r>
          </w:p>
        </w:tc>
      </w:tr>
      <w:tr>
        <w:tc>
          <w:tcPr>
            <w:tcW w:type="dxa" w:w="3389"/>
            <w:vAlign w:val="top"/>
            <w:tcMar>
              <w:top w:w="80" w:type="dxa"/>
              <w:start w:w="90" w:type="dxa"/>
              <w:bottom w:w="80" w:type="dxa"/>
              <w:end w:w="90" w:type="dxa"/>
            </w:tcMar>
          </w:tcPr>
          <w:p>
            <w:r>
              <w:rPr>
                <w:color w:val="111827"/>
                <w:sz w:val="18"/>
              </w:rPr>
              <w:t>API SaaS</w:t>
            </w:r>
          </w:p>
        </w:tc>
        <w:tc>
          <w:tcPr>
            <w:tcW w:type="dxa" w:w="3389"/>
            <w:vAlign w:val="top"/>
            <w:tcMar>
              <w:top w:w="80" w:type="dxa"/>
              <w:start w:w="90" w:type="dxa"/>
              <w:bottom w:w="80" w:type="dxa"/>
              <w:end w:w="90" w:type="dxa"/>
            </w:tcMar>
          </w:tcPr>
          <w:p>
            <w:r>
              <w:rPr>
                <w:color w:val="111827"/>
                <w:sz w:val="18"/>
              </w:rPr>
              <w:t>Wallets, DEXs, fintechs</w:t>
            </w:r>
          </w:p>
        </w:tc>
        <w:tc>
          <w:tcPr>
            <w:tcW w:type="dxa" w:w="3389"/>
            <w:vAlign w:val="top"/>
            <w:tcMar>
              <w:top w:w="80" w:type="dxa"/>
              <w:start w:w="90" w:type="dxa"/>
              <w:bottom w:w="80" w:type="dxa"/>
              <w:end w:w="90" w:type="dxa"/>
            </w:tcMar>
          </w:tcPr>
          <w:p>
            <w:r>
              <w:rPr>
                <w:color w:val="111827"/>
                <w:sz w:val="18"/>
              </w:rPr>
              <w:t>Queries / risk decisions / volume.</w:t>
            </w:r>
          </w:p>
        </w:tc>
      </w:tr>
      <w:tr>
        <w:tc>
          <w:tcPr>
            <w:tcW w:type="dxa" w:w="3389"/>
            <w:vAlign w:val="top"/>
            <w:tcMar>
              <w:top w:w="80" w:type="dxa"/>
              <w:start w:w="90" w:type="dxa"/>
              <w:bottom w:w="80" w:type="dxa"/>
              <w:end w:w="90" w:type="dxa"/>
            </w:tcMar>
          </w:tcPr>
          <w:p>
            <w:r>
              <w:rPr>
                <w:color w:val="111827"/>
                <w:sz w:val="18"/>
              </w:rPr>
              <w:t>Enterprise</w:t>
            </w:r>
          </w:p>
        </w:tc>
        <w:tc>
          <w:tcPr>
            <w:tcW w:type="dxa" w:w="3389"/>
            <w:vAlign w:val="top"/>
            <w:tcMar>
              <w:top w:w="80" w:type="dxa"/>
              <w:start w:w="90" w:type="dxa"/>
              <w:bottom w:w="80" w:type="dxa"/>
              <w:end w:w="90" w:type="dxa"/>
            </w:tcMar>
          </w:tcPr>
          <w:p>
            <w:r>
              <w:rPr>
                <w:color w:val="111827"/>
                <w:sz w:val="18"/>
              </w:rPr>
              <w:t>Brokers, institutions, issuers</w:t>
            </w:r>
          </w:p>
        </w:tc>
        <w:tc>
          <w:tcPr>
            <w:tcW w:type="dxa" w:w="3389"/>
            <w:vAlign w:val="top"/>
            <w:tcMar>
              <w:top w:w="80" w:type="dxa"/>
              <w:start w:w="90" w:type="dxa"/>
              <w:bottom w:w="80" w:type="dxa"/>
              <w:end w:w="90" w:type="dxa"/>
            </w:tcMar>
          </w:tcPr>
          <w:p>
            <w:r>
              <w:rPr>
                <w:color w:val="111827"/>
                <w:sz w:val="18"/>
              </w:rPr>
              <w:t>License + SLA + private policies.</w:t>
            </w:r>
          </w:p>
        </w:tc>
      </w:tr>
      <w:tr>
        <w:tc>
          <w:tcPr>
            <w:tcW w:type="dxa" w:w="3389"/>
            <w:vAlign w:val="top"/>
            <w:tcMar>
              <w:top w:w="80" w:type="dxa"/>
              <w:start w:w="90" w:type="dxa"/>
              <w:bottom w:w="80" w:type="dxa"/>
              <w:end w:w="90" w:type="dxa"/>
            </w:tcMar>
          </w:tcPr>
          <w:p>
            <w:r>
              <w:rPr>
                <w:color w:val="111827"/>
                <w:sz w:val="18"/>
              </w:rPr>
              <w:t>White-label</w:t>
            </w:r>
          </w:p>
        </w:tc>
        <w:tc>
          <w:tcPr>
            <w:tcW w:type="dxa" w:w="3389"/>
            <w:vAlign w:val="top"/>
            <w:tcMar>
              <w:top w:w="80" w:type="dxa"/>
              <w:start w:w="90" w:type="dxa"/>
              <w:bottom w:w="80" w:type="dxa"/>
              <w:end w:w="90" w:type="dxa"/>
            </w:tcMar>
          </w:tcPr>
          <w:p>
            <w:r>
              <w:rPr>
                <w:color w:val="111827"/>
                <w:sz w:val="18"/>
              </w:rPr>
              <w:t>RWA platforms</w:t>
            </w:r>
          </w:p>
        </w:tc>
        <w:tc>
          <w:tcPr>
            <w:tcW w:type="dxa" w:w="3389"/>
            <w:vAlign w:val="top"/>
            <w:tcMar>
              <w:top w:w="80" w:type="dxa"/>
              <w:start w:w="90" w:type="dxa"/>
              <w:bottom w:w="80" w:type="dxa"/>
              <w:end w:w="90" w:type="dxa"/>
            </w:tcMar>
          </w:tcPr>
          <w:p>
            <w:r>
              <w:rPr>
                <w:color w:val="111827"/>
                <w:sz w:val="18"/>
              </w:rPr>
              <w:t>Embedded engine/UI under customer branding.</w:t>
            </w:r>
          </w:p>
        </w:tc>
      </w:tr>
      <w:tr>
        <w:tc>
          <w:tcPr>
            <w:tcW w:type="dxa" w:w="3389"/>
            <w:vAlign w:val="top"/>
            <w:tcMar>
              <w:top w:w="80" w:type="dxa"/>
              <w:start w:w="90" w:type="dxa"/>
              <w:bottom w:w="80" w:type="dxa"/>
              <w:end w:w="90" w:type="dxa"/>
            </w:tcMar>
          </w:tcPr>
          <w:p>
            <w:r>
              <w:rPr>
                <w:color w:val="111827"/>
                <w:sz w:val="18"/>
              </w:rPr>
              <w:t>Risk Feed</w:t>
            </w:r>
          </w:p>
        </w:tc>
        <w:tc>
          <w:tcPr>
            <w:tcW w:type="dxa" w:w="3389"/>
            <w:vAlign w:val="top"/>
            <w:tcMar>
              <w:top w:w="80" w:type="dxa"/>
              <w:start w:w="90" w:type="dxa"/>
              <w:bottom w:w="80" w:type="dxa"/>
              <w:end w:w="90" w:type="dxa"/>
            </w:tcMar>
          </w:tcPr>
          <w:p>
            <w:r>
              <w:rPr>
                <w:color w:val="111827"/>
                <w:sz w:val="18"/>
              </w:rPr>
              <w:t>Market makers and operators</w:t>
            </w:r>
          </w:p>
        </w:tc>
        <w:tc>
          <w:tcPr>
            <w:tcW w:type="dxa" w:w="3389"/>
            <w:vAlign w:val="top"/>
            <w:tcMar>
              <w:top w:w="80" w:type="dxa"/>
              <w:start w:w="90" w:type="dxa"/>
              <w:bottom w:w="80" w:type="dxa"/>
              <w:end w:w="90" w:type="dxa"/>
            </w:tcMar>
          </w:tcPr>
          <w:p>
            <w:r>
              <w:rPr>
                <w:color w:val="111827"/>
                <w:sz w:val="18"/>
              </w:rPr>
              <w:t>Streaming scores, alerts and pool health.</w:t>
            </w:r>
          </w:p>
        </w:tc>
      </w:tr>
      <w:tr>
        <w:tc>
          <w:tcPr>
            <w:tcW w:type="dxa" w:w="3389"/>
            <w:vAlign w:val="top"/>
            <w:tcMar>
              <w:top w:w="80" w:type="dxa"/>
              <w:start w:w="90" w:type="dxa"/>
              <w:bottom w:w="80" w:type="dxa"/>
              <w:end w:w="90" w:type="dxa"/>
            </w:tcMar>
          </w:tcPr>
          <w:p>
            <w:r>
              <w:rPr>
                <w:color w:val="111827"/>
                <w:sz w:val="18"/>
              </w:rPr>
              <w:t>Forensic Investigation</w:t>
            </w:r>
          </w:p>
        </w:tc>
        <w:tc>
          <w:tcPr>
            <w:tcW w:type="dxa" w:w="3389"/>
            <w:vAlign w:val="top"/>
            <w:tcMar>
              <w:top w:w="80" w:type="dxa"/>
              <w:start w:w="90" w:type="dxa"/>
              <w:bottom w:w="80" w:type="dxa"/>
              <w:end w:w="90" w:type="dxa"/>
            </w:tcMar>
          </w:tcPr>
          <w:p>
            <w:r>
              <w:rPr>
                <w:color w:val="111827"/>
                <w:sz w:val="18"/>
              </w:rPr>
              <w:t>Compliance and security teams</w:t>
            </w:r>
          </w:p>
        </w:tc>
        <w:tc>
          <w:tcPr>
            <w:tcW w:type="dxa" w:w="3389"/>
            <w:vAlign w:val="top"/>
            <w:tcMar>
              <w:top w:w="80" w:type="dxa"/>
              <w:start w:w="90" w:type="dxa"/>
              <w:bottom w:w="80" w:type="dxa"/>
              <w:end w:w="90" w:type="dxa"/>
            </w:tcMar>
          </w:tcPr>
          <w:p>
            <w:r>
              <w:rPr>
                <w:color w:val="111827"/>
                <w:sz w:val="18"/>
              </w:rPr>
              <w:t>Advanced cases, graphs and evidence.</w:t>
            </w:r>
          </w:p>
        </w:tc>
      </w:tr>
    </w:tbl>
    <w:p/>
    <w:p>
      <w:pPr>
        <w:pStyle w:val="Heading1"/>
      </w:pPr>
      <w:r>
        <w:t>18. Conclusion</w:t>
      </w:r>
    </w:p>
    <w:p>
      <w:r>
        <w:t>StockShield turns blockchain security into an actionable market decision. It verifies what the asset represents, whether its price is coherent, whether the oracle is reliable, whether the pool can support the order, whether relevant wallets show risk exposure and whether the route is safe. The outcome is not a post-trade report: it is policy enforced before signing.</w:t>
      </w:r>
    </w:p>
    <w:p>
      <w:pPr>
        <w:jc w:val="center"/>
      </w:pPr>
      <w:r>
        <w:rPr>
          <w:b/>
          <w:color w:val="6D5EF7"/>
          <w:sz w:val="28"/>
        </w:rPr>
        <w:t>Tokenizing an asset doesn't tokenize the trust around it. StockShield verifies that trust before you sign.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475"/>
        <w:sz w:val="16"/>
      </w:rPr>
      <w:t>StockShield — Full System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D5EF7"/>
        <w:sz w:val="16"/>
      </w:rPr>
      <w:t>NoRug.es  •  SWAT  •  StockShield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B1020"/>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6D5EF7"/>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25D0C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0B102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360" w:right="216"/>
    </w:pPr>
    <w:rPr>
      <w:rFonts w:ascii="Consolas" w:hAnsi="Consolas"/>
      <w:color w:val="11182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