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14:paraId="7672C973" w14:textId="77777777"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707545" w:rsidRPr="00707545">
        <w:rPr>
          <w:noProof/>
          <w:color w:val="000000"/>
        </w:rPr>
        <w:t>11</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77777777"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77777777"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14:paraId="689C39C8" w14:textId="77777777"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77777777"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Falar sobre a nossa solução. Citar o uso do RoPE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77777777" w:rsidR="004333B8" w:rsidRDefault="004333B8" w:rsidP="00E10743">
      <w:pPr>
        <w:spacing w:before="240" w:after="240" w:line="360" w:lineRule="auto"/>
        <w:ind w:firstLine="709"/>
        <w:jc w:val="both"/>
      </w:pPr>
      <w:r>
        <w:t xml:space="preserve">Um dos objetivos deste trabalho é adaptar o RoPE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 xml:space="preserve">ATmega328p, </w:t>
      </w:r>
      <w:r>
        <w:t xml:space="preserve">usado atualmente, não oferece </w:t>
      </w:r>
      <w:r w:rsidR="00BA4DB1">
        <w:t>essa</w:t>
      </w:r>
      <w:r>
        <w:t xml:space="preserve"> funcionalidade.</w:t>
      </w:r>
    </w:p>
    <w:p w14:paraId="45D1DC4D" w14:textId="77777777" w:rsidR="004333B8" w:rsidRDefault="004333B8" w:rsidP="00E10743">
      <w:pPr>
        <w:spacing w:before="240" w:after="240" w:line="360" w:lineRule="auto"/>
        <w:ind w:firstLine="709"/>
        <w:jc w:val="both"/>
      </w:pPr>
      <w:r>
        <w:t xml:space="preserve">Uma das possibilidades seria </w:t>
      </w:r>
      <w:r w:rsidR="00BA4DB1">
        <w:t>substituir</w:t>
      </w:r>
      <w:r>
        <w:t xml:space="preserve"> o </w:t>
      </w:r>
      <w:r w:rsidR="00BA4DB1">
        <w:t xml:space="preserve">ATmeg328p por um outro chip que possua essa função, no entanto, isso não é viável no momento, pois envolve ter que recodificar todo o </w:t>
      </w:r>
      <w:r w:rsidR="00BA4DB1" w:rsidRPr="00BA4DB1">
        <w:rPr>
          <w:i/>
          <w:iCs/>
        </w:rPr>
        <w:t>firmware</w:t>
      </w:r>
      <w:r w:rsidR="00BA4DB1">
        <w:t xml:space="preserve"> do RoPE para o novo microcontrolador, tarefa essa que poderá ser realizada em um trabalho futuro. Por esse motivo, </w:t>
      </w:r>
      <w:r w:rsidR="00540479">
        <w:t xml:space="preserve">se faz necessário </w:t>
      </w:r>
      <w:r w:rsidR="00BA4DB1">
        <w:t xml:space="preserve">usar no projeto um módulo que </w:t>
      </w:r>
      <w:r w:rsidR="00540479">
        <w:t>possa ser acoplado ao brinquedo e se comunicar com o ATmega através do barramento serial.</w:t>
      </w:r>
    </w:p>
    <w:p w14:paraId="54CA7648" w14:textId="6F0F71D6" w:rsidR="00786053" w:rsidRDefault="00540479" w:rsidP="00786053">
      <w:pPr>
        <w:spacing w:before="240" w:after="240" w:line="360" w:lineRule="auto"/>
        <w:ind w:firstLine="709"/>
        <w:jc w:val="both"/>
      </w:pPr>
      <w:r>
        <w:t xml:space="preserve">O módulo escolhido para o desenvolvimento do </w:t>
      </w:r>
      <w:r w:rsidR="002547CE">
        <w:t xml:space="preserve">Smart </w:t>
      </w:r>
      <w:r>
        <w:t xml:space="preserve">RoPE foi </w:t>
      </w:r>
      <w:r w:rsidR="00391F5C">
        <w:t xml:space="preserve">o </w:t>
      </w:r>
      <w:r>
        <w:t>ESP8266</w:t>
      </w:r>
      <w:r w:rsidR="00E33AAB">
        <w:t xml:space="preserve"> (</w:t>
      </w:r>
      <w:r w:rsidR="00AC0DF8">
        <w:fldChar w:fldCharType="begin"/>
      </w:r>
      <w:r w:rsidR="00AC0DF8">
        <w:instrText xml:space="preserve"> REF _Ref57996960 \h </w:instrText>
      </w:r>
      <w:r w:rsidR="00AC0DF8">
        <w:fldChar w:fldCharType="separate"/>
      </w:r>
      <w:r w:rsidR="00AC0DF8" w:rsidRPr="00AC0DF8">
        <w:t>Figura 1</w:t>
      </w:r>
      <w:r w:rsidR="00AC0DF8">
        <w:fldChar w:fldCharType="end"/>
      </w:r>
      <w:r w:rsidR="00E33AAB">
        <w:t>)</w:t>
      </w:r>
      <w:r>
        <w:t xml:space="preserve">, amplamente utilizado em projetos </w:t>
      </w:r>
      <w:r w:rsidR="002547CE">
        <w:t>IoT em conjunto com o Arduino</w:t>
      </w:r>
      <w:r w:rsidR="00391F5C">
        <w:t xml:space="preserve"> (</w:t>
      </w:r>
      <w:r w:rsidR="00391F5C">
        <w:t>ATMega</w:t>
      </w:r>
      <w:r w:rsidR="002547CE">
        <w:t>)</w:t>
      </w:r>
      <w:r w:rsidR="00786053">
        <w:t xml:space="preserve">. Ele possui a funcionalidade de comunicação serial necessária ao projeto, além de </w:t>
      </w:r>
      <w:r w:rsidR="002547CE">
        <w:t>vários</w:t>
      </w:r>
      <w:r w:rsidR="00786053">
        <w:t xml:space="preserve"> outros</w:t>
      </w:r>
      <w:r w:rsidR="002547CE">
        <w:t xml:space="preserve"> recursos úteis que serão abordados nesse capítulo</w:t>
      </w:r>
      <w:r w:rsidR="00786053">
        <w:t xml:space="preserve">. </w:t>
      </w:r>
      <w:r w:rsidR="00030D58">
        <w:t>Além disso, d</w:t>
      </w:r>
      <w:r w:rsidR="00030D58">
        <w:t xml:space="preserve">entro do contexto de </w:t>
      </w:r>
      <w:r w:rsidR="00030D58" w:rsidRPr="00786053">
        <w:rPr>
          <w:i/>
          <w:iCs/>
        </w:rPr>
        <w:t>smart toys</w:t>
      </w:r>
      <w:r w:rsidR="00030D58">
        <w:t xml:space="preserve"> esse módulo já foi empregado com sucesso n</w:t>
      </w:r>
      <w:r w:rsidR="00030D58">
        <w:t>a construção d</w:t>
      </w:r>
      <w:r w:rsidR="00030D58">
        <w:t xml:space="preserve">o Dolphin Sam </w:t>
      </w:r>
      <w:r w:rsidR="00030D58">
        <w:fldChar w:fldCharType="begin"/>
      </w:r>
      <w:r w:rsidR="00030D58">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rsidR="00030D58">
        <w:fldChar w:fldCharType="separate"/>
      </w:r>
      <w:r w:rsidR="00030D58" w:rsidRPr="00786053">
        <w:t>(COLOMBO et al., 2016)</w:t>
      </w:r>
      <w:r w:rsidR="00030D58">
        <w:fldChar w:fldCharType="end"/>
      </w:r>
      <w:r w:rsidR="00030D58">
        <w:t xml:space="preserve">, um brinquedo </w:t>
      </w:r>
      <w:r w:rsidR="00030D58">
        <w:t xml:space="preserve">concebido com o intuito de </w:t>
      </w:r>
      <w:r w:rsidR="00030D58">
        <w:t xml:space="preserve">auxiliar </w:t>
      </w:r>
      <w:r w:rsidR="00030D58">
        <w:t>no desenvolvimento de crianças com deficiência cognitiva</w:t>
      </w:r>
      <w:r w:rsidR="00030D58">
        <w:t>.</w:t>
      </w:r>
    </w:p>
    <w:p w14:paraId="0A1D4CB6" w14:textId="6DA9D119" w:rsidR="00BF349C" w:rsidRDefault="00BF349C" w:rsidP="00BF349C">
      <w:pPr>
        <w:spacing w:before="240" w:after="240" w:line="360" w:lineRule="auto"/>
        <w:ind w:firstLine="709"/>
        <w:jc w:val="both"/>
      </w:pPr>
      <w:r>
        <w:t>O</w:t>
      </w:r>
      <w:r w:rsidR="002547CE">
        <w:t xml:space="preserve">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pois de</w:t>
      </w:r>
      <w:r>
        <w:t xml:space="preserv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 xml:space="preserve">(RAABE et </w:t>
      </w:r>
      <w:r w:rsidRPr="00786053">
        <w:lastRenderedPageBreak/>
        <w:t>al., 2017)</w:t>
      </w:r>
      <w:r>
        <w:fldChar w:fldCharType="end"/>
      </w:r>
      <w:r>
        <w:t xml:space="preserve"> “[...] os pesquisadores que construíram o RoPE priorizaram decisões que pudessem reduzir o custo e tornar o brinquedo aderente a realidade dos núcleos de educação infantil brasileiros</w:t>
      </w:r>
      <w:r>
        <w:t>”.</w:t>
      </w:r>
    </w:p>
    <w:p w14:paraId="1EFD5D73" w14:textId="21149838" w:rsidR="00540479" w:rsidRDefault="00540479" w:rsidP="00030D58">
      <w:pPr>
        <w:spacing w:before="240" w:after="240" w:line="360" w:lineRule="auto"/>
        <w:ind w:firstLine="709"/>
        <w:jc w:val="both"/>
      </w:pPr>
    </w:p>
    <w:p w14:paraId="382B4FA4" w14:textId="77777777" w:rsidR="0044285D" w:rsidRDefault="0044285D" w:rsidP="005D426A">
      <w:pPr>
        <w:pStyle w:val="Imagem"/>
      </w:pPr>
      <w:r>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50652756" w:rsidR="00E33AAB" w:rsidRPr="00AC0DF8" w:rsidRDefault="00AC0DF8" w:rsidP="00EC2CD3">
      <w:pPr>
        <w:pStyle w:val="RtulodeFigura"/>
      </w:pPr>
      <w:bookmarkStart w:id="15" w:name="_Ref57996960"/>
      <w:r w:rsidRPr="00AC0DF8">
        <w:t xml:space="preserve">Figura </w:t>
      </w:r>
      <w:r w:rsidR="00B75F64">
        <w:fldChar w:fldCharType="begin"/>
      </w:r>
      <w:r w:rsidR="00B75F64">
        <w:instrText xml:space="preserve"> SEQ Figura \* ARABIC </w:instrText>
      </w:r>
      <w:r w:rsidR="00B75F64">
        <w:fldChar w:fldCharType="separate"/>
      </w:r>
      <w:r w:rsidR="00900C8C">
        <w:rPr>
          <w:noProof/>
        </w:rPr>
        <w:t>1</w:t>
      </w:r>
      <w:r w:rsidR="00B75F64">
        <w:fldChar w:fldCharType="end"/>
      </w:r>
      <w:bookmarkEnd w:id="15"/>
      <w:r w:rsidRPr="00AC0DF8">
        <w:t>. Módulo ESP8266</w:t>
      </w:r>
    </w:p>
    <w:p w14:paraId="450ADB81" w14:textId="7777777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RoPE é </w:t>
      </w:r>
      <w:r w:rsidR="00F66890">
        <w:t xml:space="preserve">um brinquedo </w:t>
      </w:r>
      <w:r w:rsidR="00F66890">
        <w:t xml:space="preserve">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RoPE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ATMega</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RoPE essa interrupção ocorre quando um de seus botões é pressionado. </w:t>
      </w:r>
    </w:p>
    <w:p w14:paraId="3BC2750A" w14:textId="2C6E418C"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entre 1.2mA a 2.7mA em modo de espera, quando conectado a uma fonte de energia de 5v e equipado com um cristal de 8MHz, configuração usada pelo RoPE. 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w:t>
      </w:r>
      <w:r w:rsidR="00E65101">
        <w:t>Secretaria de Educação de Balneário Camboriú</w:t>
      </w:r>
      <w:r w:rsidR="00E65101">
        <w:t xml:space="preserve">, pelo menos 30 unidades do </w:t>
      </w:r>
      <w:r>
        <w:t xml:space="preserve">RoPE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w:t>
      </w:r>
      <w:r w:rsidR="0070352D">
        <w:lastRenderedPageBreak/>
        <w:t xml:space="preserve">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(ii) aumenta o tempo de espera para a correção e; (iii) inviabiliza que a atualização seja </w:t>
      </w:r>
      <w:r w:rsidR="00955A62">
        <w:t>aplicada nas demais</w:t>
      </w:r>
      <w:r w:rsidR="0070352D">
        <w:t xml:space="preserve"> unidades antes que os defeitos ocorram.</w:t>
      </w:r>
    </w:p>
    <w:p w14:paraId="2D0038F1" w14:textId="60791E65" w:rsidR="0070352D" w:rsidRDefault="0070352D" w:rsidP="00E10743">
      <w:pPr>
        <w:spacing w:before="240" w:after="240" w:line="360" w:lineRule="auto"/>
        <w:ind w:firstLine="709"/>
        <w:jc w:val="both"/>
      </w:pPr>
      <w:r>
        <w:t xml:space="preserve">Com o ESP8266 todos </w:t>
      </w:r>
      <w:r w:rsidR="004E1DE0">
        <w:t>esses problemas</w:t>
      </w:r>
      <w:r>
        <w:t xml:space="preserve"> podem ser resolvido</w:t>
      </w:r>
      <w:r w:rsidR="004E1DE0">
        <w:t xml:space="preserve">s de uma única vez, pois o módulo conta com um recurso 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 No caso do ESP8266, o conjunto de bibliotecas disponibilizado pela fabricante já implementa nativamente essa funcionalidade, facilitando muito o seu uso</w:t>
      </w:r>
      <w:r w:rsidR="00900C8C">
        <w:t xml:space="preserve">, conforme ilustrado na </w:t>
      </w:r>
      <w:r w:rsidR="00900C8C">
        <w:fldChar w:fldCharType="begin"/>
      </w:r>
      <w:r w:rsidR="00900C8C">
        <w:instrText xml:space="preserve"> REF _Ref58028050 \h </w:instrText>
      </w:r>
      <w:r w:rsidR="00900C8C">
        <w:fldChar w:fldCharType="separate"/>
      </w:r>
      <w:r w:rsidR="00900C8C">
        <w:t xml:space="preserve">Figura </w:t>
      </w:r>
      <w:r w:rsidR="00900C8C">
        <w:rPr>
          <w:noProof/>
        </w:rPr>
        <w:t>2</w:t>
      </w:r>
      <w:r w:rsidR="00900C8C">
        <w:fldChar w:fldCharType="end"/>
      </w:r>
      <w:r w:rsidR="00900C8C">
        <w:t>.</w:t>
      </w:r>
      <w:bookmarkStart w:id="17" w:name="_GoBack"/>
      <w:bookmarkEnd w:id="17"/>
    </w:p>
    <w:tbl>
      <w:tblPr>
        <w:tblStyle w:val="Tabelacomgrade"/>
        <w:tblW w:w="0" w:type="auto"/>
        <w:jc w:val="center"/>
        <w:tblLook w:val="04A0" w:firstRow="1" w:lastRow="0" w:firstColumn="1" w:lastColumn="0" w:noHBand="0" w:noVBand="1"/>
      </w:tblPr>
      <w:tblGrid>
        <w:gridCol w:w="9629"/>
      </w:tblGrid>
      <w:tr w:rsidR="00C468BA" w:rsidRPr="00C468BA" w14:paraId="35FEA700" w14:textId="77777777" w:rsidTr="00C468BA">
        <w:trPr>
          <w:jc w:val="center"/>
        </w:trPr>
        <w:tc>
          <w:tcPr>
            <w:tcW w:w="9629" w:type="dxa"/>
          </w:tcPr>
          <w:bookmarkStart w:id="18" w:name="_MON_1668640684"/>
          <w:bookmarkEnd w:id="18"/>
          <w:p w14:paraId="5B99CA9C" w14:textId="251A59D6" w:rsidR="00C468BA" w:rsidRPr="00900C8C" w:rsidRDefault="006F11D0"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410"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5pt;height:270.7pt" o:ole="">
                  <v:imagedata r:id="rId13" o:title=""/>
                </v:shape>
                <o:OLEObject Type="Embed" ProgID="Word.OpenDocumentText.12" ShapeID="_x0000_i1035" DrawAspect="Content" ObjectID="_1668641421" r:id="rId14"/>
              </w:object>
            </w:r>
          </w:p>
        </w:tc>
      </w:tr>
    </w:tbl>
    <w:p w14:paraId="6BD19FB4" w14:textId="5EED92EC" w:rsidR="00C468BA" w:rsidRPr="004E1DE0" w:rsidRDefault="00900C8C" w:rsidP="00900C8C">
      <w:pPr>
        <w:pStyle w:val="RtulodeFigura"/>
      </w:pPr>
      <w:bookmarkStart w:id="19" w:name="_Ref58028050"/>
      <w:r>
        <w:t xml:space="preserve">Figura </w:t>
      </w:r>
      <w:r>
        <w:fldChar w:fldCharType="begin"/>
      </w:r>
      <w:r>
        <w:instrText xml:space="preserve"> SEQ Figura \* ARABIC </w:instrText>
      </w:r>
      <w:r>
        <w:fldChar w:fldCharType="separate"/>
      </w:r>
      <w:r>
        <w:rPr>
          <w:noProof/>
        </w:rPr>
        <w:t>2</w:t>
      </w:r>
      <w:r>
        <w:fldChar w:fldCharType="end"/>
      </w:r>
      <w:bookmarkEnd w:id="19"/>
      <w:r>
        <w:t>. Exemplo de código para atualização OTA</w:t>
      </w:r>
    </w:p>
    <w:p w14:paraId="736323CC" w14:textId="7F321DDF" w:rsidR="008E2A43" w:rsidRDefault="00900C8C" w:rsidP="00D16FDD">
      <w:pPr>
        <w:spacing w:before="240" w:after="240" w:line="360" w:lineRule="auto"/>
        <w:ind w:firstLine="709"/>
        <w:jc w:val="both"/>
      </w:pPr>
      <w:bookmarkStart w:id="20" w:name="_Hlk57937632"/>
      <w:r>
        <w:t>Lorem ipsum dolor sit amet</w:t>
      </w:r>
      <w:r w:rsidR="00D16FDD">
        <w:t>.</w:t>
      </w: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Ao trabalhar com IoT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lastRenderedPageBreak/>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14:paraId="7F6CE4D1" w14:textId="73DF3536" w:rsidR="00273353" w:rsidRPr="00590441" w:rsidRDefault="00273353" w:rsidP="00590441">
      <w:pPr>
        <w:pStyle w:val="Legenda"/>
      </w:pPr>
      <w:bookmarkStart w:id="21" w:name="_gctqhwbh63v0"/>
      <w:bookmarkStart w:id="22" w:name="_t00t96r2893a"/>
      <w:bookmarkStart w:id="23" w:name="_Ref57849743"/>
      <w:bookmarkEnd w:id="21"/>
      <w:bookmarkEnd w:id="22"/>
      <w:r w:rsidRPr="00590441">
        <w:t xml:space="preserve">Figura </w:t>
      </w:r>
      <w:r w:rsidR="00B75F64">
        <w:fldChar w:fldCharType="begin"/>
      </w:r>
      <w:r w:rsidR="00B75F64">
        <w:instrText xml:space="preserve"> SEQ Figura \* ARABIC </w:instrText>
      </w:r>
      <w:r w:rsidR="00B75F64">
        <w:fldChar w:fldCharType="separate"/>
      </w:r>
      <w:r w:rsidR="00900C8C">
        <w:rPr>
          <w:noProof/>
        </w:rPr>
        <w:t>3</w:t>
      </w:r>
      <w:r w:rsidR="00B75F64">
        <w:rPr>
          <w:noProof/>
        </w:rPr>
        <w:fldChar w:fldCharType="end"/>
      </w:r>
      <w:bookmarkEnd w:id="23"/>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4" w:name="_9imir1lazk8" w:colFirst="0" w:colLast="0"/>
      <w:bookmarkEnd w:id="24"/>
    </w:p>
    <w:p w14:paraId="19EB8005" w14:textId="22430B55"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D426A" w:rsidRPr="00590441">
        <w:t xml:space="preserve">Figura </w:t>
      </w:r>
      <w:r w:rsidR="005D426A">
        <w:rPr>
          <w:noProof/>
        </w:rPr>
        <w:t>2</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5" w:name="_8bzefnmrxi17" w:colFirst="0" w:colLast="0"/>
      <w:bookmarkEnd w:id="25"/>
      <w:r>
        <w:lastRenderedPageBreak/>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6" w:name="_vd7abhxyk11t" w:colFirst="0" w:colLast="0"/>
      <w:bookmarkEnd w:id="26"/>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em ambientes onde a infraestrutura de rede é precária e apresenta instabilidades, 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14:paraId="3FB05AD0" w14:textId="7777777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5">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w:t>
      </w:r>
      <w:r w:rsidR="0080455C">
        <w:lastRenderedPageBreak/>
        <w:t xml:space="preserve">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27" w:name="_j0hfitcisdt1" w:colFirst="0" w:colLast="0"/>
      <w:bookmarkEnd w:id="27"/>
    </w:p>
    <w:p w14:paraId="6B98AA36" w14:textId="77777777"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28" w:name="_t36ib3nvgjbe" w:colFirst="0" w:colLast="0"/>
      <w:bookmarkEnd w:id="28"/>
    </w:p>
    <w:bookmarkEnd w:id="20"/>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r>
                    <w:rPr>
                      <w:b/>
                      <w:sz w:val="20"/>
                      <w:szCs w:val="20"/>
                    </w:rPr>
                    <w:t>Fev</w:t>
                  </w:r>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r>
                    <w:rPr>
                      <w:b/>
                      <w:sz w:val="20"/>
                      <w:szCs w:val="20"/>
                    </w:rPr>
                    <w:t>Abr</w:t>
                  </w:r>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r>
                    <w:rPr>
                      <w:b/>
                      <w:sz w:val="20"/>
                      <w:szCs w:val="20"/>
                    </w:rPr>
                    <w:t>Jun</w:t>
                  </w:r>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r>
                    <w:rPr>
                      <w:b/>
                      <w:sz w:val="20"/>
                      <w:szCs w:val="20"/>
                    </w:rPr>
                    <w:t>Jul</w:t>
                  </w:r>
                </w:p>
              </w:tc>
              <w:tc>
                <w:tcPr>
                  <w:tcW w:w="715" w:type="dxa"/>
                </w:tcPr>
                <w:p w14:paraId="51570D90" w14:textId="77777777" w:rsidR="00401310" w:rsidRDefault="0080455C">
                  <w:pPr>
                    <w:jc w:val="center"/>
                    <w:rPr>
                      <w:b/>
                      <w:sz w:val="20"/>
                      <w:szCs w:val="20"/>
                    </w:rPr>
                  </w:pPr>
                  <w:r>
                    <w:rPr>
                      <w:b/>
                      <w:sz w:val="20"/>
                      <w:szCs w:val="20"/>
                    </w:rPr>
                    <w:t>Ago</w:t>
                  </w:r>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r>
                    <w:rPr>
                      <w:b/>
                      <w:sz w:val="20"/>
                      <w:szCs w:val="20"/>
                    </w:rPr>
                    <w:t>Nov</w:t>
                  </w:r>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lastRenderedPageBreak/>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29" w:name="_3rdcrjn" w:colFirst="0" w:colLast="0"/>
      <w:bookmarkEnd w:id="29"/>
      <w:r>
        <w:rPr>
          <w:b/>
          <w:smallCaps/>
          <w:sz w:val="32"/>
          <w:szCs w:val="32"/>
        </w:rPr>
        <w:t>R</w:t>
      </w:r>
      <w:r>
        <w:rPr>
          <w:b/>
          <w:smallCaps/>
          <w:color w:val="000000"/>
          <w:sz w:val="32"/>
          <w:szCs w:val="32"/>
        </w:rPr>
        <w:t>EFERÊNCIAS</w:t>
      </w:r>
    </w:p>
    <w:p w14:paraId="4F4C1506" w14:textId="77777777" w:rsidR="00E65101" w:rsidRPr="00E65101" w:rsidRDefault="00530F78" w:rsidP="00E65101">
      <w:pPr>
        <w:pStyle w:val="Bibliografia"/>
      </w:pPr>
      <w:r>
        <w:rPr>
          <w:smallCaps/>
          <w:color w:val="000000"/>
          <w:szCs w:val="32"/>
        </w:rPr>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E65101" w:rsidRPr="00E65101">
        <w:t xml:space="preserve">COLOMBO, S. et al. </w:t>
      </w:r>
      <w:r w:rsidR="00E65101" w:rsidRPr="00E65101">
        <w:rPr>
          <w:b/>
          <w:bCs/>
        </w:rPr>
        <w:t>Dolphin Sam: A Smart Pet for Children with Intellectual Disability</w:t>
      </w:r>
      <w:r w:rsidR="00E65101" w:rsidRPr="00E65101">
        <w:t xml:space="preserve">. Proceedings of the International Working Conference on Advanced Visual Interfaces - AVI ’16. </w:t>
      </w:r>
      <w:r w:rsidR="00E65101" w:rsidRPr="00E65101">
        <w:rPr>
          <w:b/>
          <w:bCs/>
        </w:rPr>
        <w:t>Anais</w:t>
      </w:r>
      <w:r w:rsidR="00E65101" w:rsidRPr="00E65101">
        <w:t>... In: THE INTERNATIONAL WORKING CONFERENCE. Bari, Italy: ACM Press, 2016. Disponível em: &lt;http://dl.acm.org/citation.cfm?doid=2909132.2926090&gt;. Acesso em: 5 dez. 2020</w:t>
      </w:r>
    </w:p>
    <w:p w14:paraId="34CF65AA" w14:textId="77777777" w:rsidR="00E65101" w:rsidRPr="00E65101" w:rsidRDefault="00E65101" w:rsidP="00E65101">
      <w:pPr>
        <w:pStyle w:val="Bibliografia"/>
      </w:pPr>
      <w:r w:rsidRPr="00E65101">
        <w:t xml:space="preserve">HWANG, H. C.; PARK, J.; SHON, J. G. Design and Implementation of a Reliable Message Transmission System Based on MQTT Protocol in IoT. </w:t>
      </w:r>
      <w:r w:rsidRPr="00E65101">
        <w:rPr>
          <w:b/>
          <w:bCs/>
        </w:rPr>
        <w:t>Wireless Personal Communications</w:t>
      </w:r>
      <w:r w:rsidRPr="00E65101">
        <w:t xml:space="preserve">, v. 91, n. 4, p. 1765–1777, dez. 2016. </w:t>
      </w:r>
    </w:p>
    <w:p w14:paraId="137C0679" w14:textId="77777777" w:rsidR="00E65101" w:rsidRPr="00E65101" w:rsidRDefault="00E65101" w:rsidP="00E65101">
      <w:pPr>
        <w:pStyle w:val="Bibliografia"/>
      </w:pPr>
      <w:r w:rsidRPr="00E65101">
        <w:t xml:space="preserve">MANANDHAR, S. MQTT based communication in IoT. p. 56, 31 maio 2017. </w:t>
      </w:r>
    </w:p>
    <w:p w14:paraId="18111006" w14:textId="77777777" w:rsidR="00E65101" w:rsidRPr="00E65101" w:rsidRDefault="00E65101" w:rsidP="00E65101">
      <w:pPr>
        <w:pStyle w:val="Bibliografia"/>
      </w:pPr>
      <w:r w:rsidRPr="00E65101">
        <w:t xml:space="preserve">MARTINS, V. F. AUTOMAÇÃO RESIDENCIAL USANDO PROTOCOLO MQTT, NODE- RED E MOSQUITTO BROKER COM ESP32 E ESP8266. p. 53, 2019. </w:t>
      </w:r>
    </w:p>
    <w:p w14:paraId="61A07545" w14:textId="77777777" w:rsidR="00E65101" w:rsidRPr="00E65101" w:rsidRDefault="00E65101" w:rsidP="00E65101">
      <w:pPr>
        <w:pStyle w:val="Bibliografia"/>
      </w:pPr>
      <w:r w:rsidRPr="00E65101">
        <w:t xml:space="preserve">MEHTA, M. ESP 8266: A BREAKTHROUGH IN WIRELESS SENSOR NETWORKS AND INTERNET OF THINGS. </w:t>
      </w:r>
      <w:r w:rsidRPr="00E65101">
        <w:rPr>
          <w:b/>
          <w:bCs/>
        </w:rPr>
        <w:t>International Journal of Electronics and Communication Engineering &amp; Technology</w:t>
      </w:r>
      <w:r w:rsidRPr="00E65101">
        <w:t xml:space="preserve">, v. 6, n. 8, p. 7–11, ago. 2015. </w:t>
      </w:r>
    </w:p>
    <w:p w14:paraId="63BFAFA8" w14:textId="77777777" w:rsidR="00E65101" w:rsidRPr="00E65101" w:rsidRDefault="00E65101" w:rsidP="00E65101">
      <w:pPr>
        <w:pStyle w:val="Bibliografia"/>
      </w:pPr>
      <w:r w:rsidRPr="00E65101">
        <w:t xml:space="preserve">MICROSHIP. </w:t>
      </w:r>
      <w:r w:rsidRPr="00E65101">
        <w:rPr>
          <w:b/>
          <w:bCs/>
        </w:rPr>
        <w:t>ATmega48A/PA/88A/PA/168A/PA/328/P megaAVR Data Sheet</w:t>
      </w:r>
      <w:r w:rsidRPr="00E65101">
        <w:t>Microship, , 2020. . Disponível em: &lt;https://ww1.microchip.com/downloads/en/DeviceDoc/ATmega48A-PA-88A-PA-168A-PA-328-P-DS-DS40002061B.pdf&gt;. Acesso em: 4 dez. 2020</w:t>
      </w:r>
    </w:p>
    <w:p w14:paraId="4BC2A6D5" w14:textId="77777777" w:rsidR="00E65101" w:rsidRPr="00E65101" w:rsidRDefault="00E65101" w:rsidP="00E65101">
      <w:pPr>
        <w:pStyle w:val="Bibliografia"/>
      </w:pPr>
      <w:r w:rsidRPr="00E65101">
        <w:t xml:space="preserve">OLIVEIRA, G. M. B. et al. </w:t>
      </w:r>
      <w:r w:rsidRPr="00E65101">
        <w:rPr>
          <w:b/>
          <w:bCs/>
        </w:rPr>
        <w:t>Comparison Between MQTT and WebSocket Protocols for IoT Applications Using ESP8266</w:t>
      </w:r>
      <w:r w:rsidRPr="00E65101">
        <w:t xml:space="preserve">. 2018 Workshop on Metrology for Industry 4.0 and IoT. </w:t>
      </w:r>
      <w:r w:rsidRPr="00E65101">
        <w:rPr>
          <w:b/>
          <w:bCs/>
        </w:rPr>
        <w:t>Anais</w:t>
      </w:r>
      <w:r w:rsidRPr="00E65101">
        <w:t>... In: 2018 WORKSHOP ON METROLOGY FOR INDUSTRY 4.0 AND IOT. Brescia: IEEE, abr. 2018. Disponível em: &lt;https://ieeexplore.ieee.org/document/8428348/&gt;. Acesso em: 3 dez. 2020</w:t>
      </w:r>
    </w:p>
    <w:p w14:paraId="05871B50" w14:textId="77777777" w:rsidR="00E65101" w:rsidRPr="00E65101" w:rsidRDefault="00E65101" w:rsidP="00E65101">
      <w:pPr>
        <w:pStyle w:val="Bibliografia"/>
      </w:pPr>
      <w:r w:rsidRPr="00E65101">
        <w:t xml:space="preserve">RAABE, A. et al. </w:t>
      </w:r>
      <w:r w:rsidRPr="00E65101">
        <w:rPr>
          <w:b/>
          <w:bCs/>
        </w:rPr>
        <w:t>RoPE - Brinquedo de Programar e Plataforma de Aprender</w:t>
      </w:r>
      <w:r w:rsidRPr="00E65101">
        <w:t>. . In: XXIII WORKSHOP DE INFORMÁTICA NA ESCOLA. Recife, Pernambuco, Brasil: 27 out. 2017. Disponível em: &lt;http://www.br-ie.org/pub/index.php/wie/article/view/7349&gt;. Acesso em: 5 dez. 2020</w:t>
      </w:r>
    </w:p>
    <w:p w14:paraId="2B2F8F0D" w14:textId="77777777" w:rsidR="00E65101" w:rsidRPr="00E65101" w:rsidRDefault="00E65101" w:rsidP="00E65101">
      <w:pPr>
        <w:pStyle w:val="Bibliografia"/>
      </w:pPr>
      <w:r w:rsidRPr="00E65101">
        <w:t xml:space="preserve">SAHADEVAN, A. et al. </w:t>
      </w:r>
      <w:r w:rsidRPr="00E65101">
        <w:rPr>
          <w:b/>
          <w:bCs/>
        </w:rPr>
        <w:t>An Offline Online Strategy for IoT Using MQTT</w:t>
      </w:r>
      <w:r w:rsidRPr="00E65101">
        <w:t xml:space="preserve">. 2017 IEEE 4th International Conference on Cyber Security and Cloud Computing (CSCloud). </w:t>
      </w:r>
      <w:r w:rsidRPr="00E65101">
        <w:rPr>
          <w:b/>
          <w:bCs/>
        </w:rPr>
        <w:t>Anais</w:t>
      </w:r>
      <w:r w:rsidRPr="00E65101">
        <w:t>... In: 2017 IEEE 4TH INTERNATIONAL CONFERENCE ON CYBER SECURITY AND CLOUD COMPUTING (CSCLOUD). New York, NY, USA: IEEE, jun. 2017. Disponível em: &lt;http://ieeexplore.ieee.org/document/7987225/&gt;. Acesso em: 3 dez. 2020</w:t>
      </w:r>
    </w:p>
    <w:p w14:paraId="5A8FA808" w14:textId="77777777" w:rsidR="00E65101" w:rsidRPr="00E65101" w:rsidRDefault="00E65101" w:rsidP="00E65101">
      <w:pPr>
        <w:pStyle w:val="Bibliografia"/>
      </w:pPr>
      <w:r w:rsidRPr="00E65101">
        <w:t xml:space="preserve">SHINHO LEE et al. </w:t>
      </w:r>
      <w:r w:rsidRPr="00E65101">
        <w:rPr>
          <w:b/>
          <w:bCs/>
        </w:rPr>
        <w:t>Correlation analysis of MQTT loss and delay according to QoS level</w:t>
      </w:r>
      <w:r w:rsidRPr="00E65101">
        <w:t xml:space="preserve">. The International Conference on Information Networking 2013 (ICOIN). </w:t>
      </w:r>
      <w:r w:rsidRPr="00E65101">
        <w:rPr>
          <w:b/>
          <w:bCs/>
        </w:rPr>
        <w:t>Anais</w:t>
      </w:r>
      <w:r w:rsidRPr="00E65101">
        <w:t xml:space="preserve">... In: 2013 INTERNATIONAL CONFERENCE ON INFORMATION NETWORKING (ICOIN). Bangkok: </w:t>
      </w:r>
      <w:r w:rsidRPr="00E65101">
        <w:lastRenderedPageBreak/>
        <w:t>IEEE, jan. 2013. Disponível em: &lt;http://ieeexplore.ieee.org/document/6496715/&gt;. Acesso em: 3 dez. 2020</w:t>
      </w:r>
    </w:p>
    <w:p w14:paraId="542E3197" w14:textId="77777777" w:rsidR="00E65101" w:rsidRPr="00E65101" w:rsidRDefault="00E65101" w:rsidP="00E65101">
      <w:pPr>
        <w:pStyle w:val="Bibliografia"/>
      </w:pPr>
      <w:r w:rsidRPr="00E65101">
        <w:t xml:space="preserve">SONI, D.; MAKWANA, A. A SURVEY ON MQTT: A PROTOCOL OF INTERNET OF THINGS (IOT). p. 5, 2017. </w:t>
      </w:r>
    </w:p>
    <w:p w14:paraId="0B316346" w14:textId="77777777" w:rsidR="00E65101" w:rsidRPr="00E65101" w:rsidRDefault="00E65101" w:rsidP="00E65101">
      <w:pPr>
        <w:pStyle w:val="Bibliografia"/>
      </w:pPr>
      <w:r w:rsidRPr="00E65101">
        <w:t xml:space="preserve">TORRES, A. B. B.; ROCHA, A. R.; DE SOUZA, J. N. Análise de Desempenho de Brokers MQTT em Sistema de Baixo Custo. p. 12, 2016. </w:t>
      </w:r>
    </w:p>
    <w:p w14:paraId="4F899FE9" w14:textId="3B8FFCB2"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4F01A" w14:textId="77777777" w:rsidR="003542E8" w:rsidRDefault="003542E8">
      <w:r>
        <w:separator/>
      </w:r>
    </w:p>
  </w:endnote>
  <w:endnote w:type="continuationSeparator" w:id="0">
    <w:p w14:paraId="2039BCB2" w14:textId="77777777" w:rsidR="003542E8" w:rsidRDefault="0035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4EC3" w14:textId="77777777" w:rsidR="003542E8" w:rsidRDefault="003542E8">
      <w:r>
        <w:separator/>
      </w:r>
    </w:p>
  </w:footnote>
  <w:footnote w:type="continuationSeparator" w:id="0">
    <w:p w14:paraId="24E602C2" w14:textId="77777777" w:rsidR="003542E8" w:rsidRDefault="0035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30D58"/>
    <w:rsid w:val="00031E18"/>
    <w:rsid w:val="00087297"/>
    <w:rsid w:val="0016110A"/>
    <w:rsid w:val="00190367"/>
    <w:rsid w:val="001F1B4B"/>
    <w:rsid w:val="001F73A5"/>
    <w:rsid w:val="00210C84"/>
    <w:rsid w:val="002177A4"/>
    <w:rsid w:val="002547CE"/>
    <w:rsid w:val="00273353"/>
    <w:rsid w:val="00311D25"/>
    <w:rsid w:val="0034479B"/>
    <w:rsid w:val="003542E8"/>
    <w:rsid w:val="00391F5C"/>
    <w:rsid w:val="003C7110"/>
    <w:rsid w:val="00401310"/>
    <w:rsid w:val="004333B8"/>
    <w:rsid w:val="0044285D"/>
    <w:rsid w:val="00443885"/>
    <w:rsid w:val="00457C24"/>
    <w:rsid w:val="004D1140"/>
    <w:rsid w:val="004E1DE0"/>
    <w:rsid w:val="004F4468"/>
    <w:rsid w:val="00530F78"/>
    <w:rsid w:val="00540479"/>
    <w:rsid w:val="00552214"/>
    <w:rsid w:val="005662B2"/>
    <w:rsid w:val="00570320"/>
    <w:rsid w:val="005808AC"/>
    <w:rsid w:val="00583AA4"/>
    <w:rsid w:val="00590441"/>
    <w:rsid w:val="005C2AD0"/>
    <w:rsid w:val="005D426A"/>
    <w:rsid w:val="00600884"/>
    <w:rsid w:val="00684B46"/>
    <w:rsid w:val="006F11D0"/>
    <w:rsid w:val="006F76B0"/>
    <w:rsid w:val="0070352D"/>
    <w:rsid w:val="00707545"/>
    <w:rsid w:val="00711784"/>
    <w:rsid w:val="00747684"/>
    <w:rsid w:val="00770892"/>
    <w:rsid w:val="00786053"/>
    <w:rsid w:val="007B1BFB"/>
    <w:rsid w:val="007B444B"/>
    <w:rsid w:val="007B4F61"/>
    <w:rsid w:val="0080455C"/>
    <w:rsid w:val="008374D6"/>
    <w:rsid w:val="00855E5F"/>
    <w:rsid w:val="00881A8C"/>
    <w:rsid w:val="008B4C67"/>
    <w:rsid w:val="008E2A43"/>
    <w:rsid w:val="00900C8C"/>
    <w:rsid w:val="009026DB"/>
    <w:rsid w:val="00955A62"/>
    <w:rsid w:val="00963501"/>
    <w:rsid w:val="00963722"/>
    <w:rsid w:val="00964AF1"/>
    <w:rsid w:val="009A5AD1"/>
    <w:rsid w:val="00A015DB"/>
    <w:rsid w:val="00A4338F"/>
    <w:rsid w:val="00AA653F"/>
    <w:rsid w:val="00AC0DF8"/>
    <w:rsid w:val="00B250C9"/>
    <w:rsid w:val="00B75F64"/>
    <w:rsid w:val="00BA4DB1"/>
    <w:rsid w:val="00BF27E7"/>
    <w:rsid w:val="00BF349C"/>
    <w:rsid w:val="00C10304"/>
    <w:rsid w:val="00C166CB"/>
    <w:rsid w:val="00C468BA"/>
    <w:rsid w:val="00C70C9E"/>
    <w:rsid w:val="00CC67B2"/>
    <w:rsid w:val="00CD6797"/>
    <w:rsid w:val="00CE3F08"/>
    <w:rsid w:val="00CF1E43"/>
    <w:rsid w:val="00D16FDD"/>
    <w:rsid w:val="00D6453F"/>
    <w:rsid w:val="00DA5D9D"/>
    <w:rsid w:val="00DA7FB4"/>
    <w:rsid w:val="00DE2882"/>
    <w:rsid w:val="00E10743"/>
    <w:rsid w:val="00E33AAB"/>
    <w:rsid w:val="00E65101"/>
    <w:rsid w:val="00E705E7"/>
    <w:rsid w:val="00EC2CD3"/>
    <w:rsid w:val="00F11F4F"/>
    <w:rsid w:val="00F40C24"/>
    <w:rsid w:val="00F66890"/>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hyperlink" Target="https://www.zotero.org/google-docs/?dYH4o2" TargetMode="External"/><Relationship Id="rId10" Type="http://schemas.openxmlformats.org/officeDocument/2006/relationships/hyperlink" Target="https://www.zotero.org/google-docs/?rkiX98"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9502-5107-4579-BA5C-F4FCD1AC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7600</Words>
  <Characters>41044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6</cp:revision>
  <dcterms:created xsi:type="dcterms:W3CDTF">2020-12-04T21:16:00Z</dcterms:created>
  <dcterms:modified xsi:type="dcterms:W3CDTF">2020-12-05T05:44:00Z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