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Diseño e Implementación de un Entorno de Desarrollo Integrado (IDE) Especializado para la Ingeniería de Software Cuántico y la Simulación Híbrida HPC-QC</w:t>
      </w:r>
    </w:p>
    <w:p/>
    <w:p>
      <w:pPr>
        <w:jc w:val="center"/>
      </w:pPr>
      <w:r>
        <w:rPr>
          <w:sz w:val="24"/>
        </w:rPr>
        <w:t>Investigador Principal / Equipo de Desarrollo de HPC Studio</w:t>
      </w:r>
    </w:p>
    <w:p>
      <w:pPr>
        <w:jc w:val="center"/>
      </w:pPr>
      <w:r>
        <w:rPr>
          <w:sz w:val="24"/>
        </w:rPr>
        <w:t>Laboratorio de Supercómputo y Simulación Científica</w:t>
        <w:br/>
        <w:t>Proyecto HPC Studio / Quantum Studio</w:t>
      </w:r>
    </w:p>
    <w:p>
      <w:pPr>
        <w:jc w:val="center"/>
      </w:pPr>
      <w:r>
        <w:rPr>
          <w:sz w:val="24"/>
        </w:rPr>
        <w:t>Octubre de 2026</w:t>
      </w:r>
    </w:p>
    <w:p>
      <w:r>
        <w:br w:type="page"/>
      </w:r>
    </w:p>
    <w:p>
      <w:pPr>
        <w:spacing w:before="240" w:after="120" w:line="480" w:lineRule="auto"/>
        <w:jc w:val="center"/>
      </w:pPr>
      <w:r>
        <w:rPr>
          <w:rFonts w:ascii="Times New Roman" w:hAnsi="Times New Roman"/>
          <w:b/>
          <w:sz w:val="24"/>
        </w:rPr>
        <w:t>Resumen</w:t>
      </w:r>
    </w:p>
    <w:p>
      <w:pPr>
        <w:spacing w:line="480" w:lineRule="auto" w:after="0" w:before="0"/>
      </w:pPr>
      <w:r>
        <w:rPr>
          <w:rFonts w:ascii="Times New Roman" w:hAnsi="Times New Roman"/>
          <w:sz w:val="24"/>
        </w:rPr>
        <w:t>El paradigma emergente de la computación cuántica en la era de Escala Intermedia con Ruido (NISQ, por sus siglas en inglés) enfrenta una brecha sustancial en sus capas de abstracción e interacción humana: la ausencia de entornos de desarrollo integrados (IDE) dedicados que trasciendan las limitaciones lineales de los cuadernos de notas (computational notebooks). Esta investigación propone el diseño, fundamentación arquitectónica e implementación prototípica de Quantum Studio, un IDE nativo y modular de código abierto optimizado para el diseño, simulación, visualización geométrica y transpilación de circuitos cuánticos, con soporte explícito para flujos híbridos cuántico-clásicos (HPC-QC). La plataforma integra un servidor de lenguaje (Language Server Protocol, LSP) para OpenQASM 3.0, un motor reactivo de representación gráfica de circuitos, un módulo WebGL tridimensional para la proyección de estados en la Esfera de Bloch y variedades de subespacios multiqubit, conectores bidireccionales con gestores de carga de trabajo de supercómputo (Slurm) y unidades de procesamiento cuántico (QPU) en la nube, y una capa de asistencia algorítmica impulsada por agentes de inteligencia artificial mediante el Model Context Protocol (MCP). La metodología de investigación adopta un enfoque de diseño e ingeniería de software basado en artefactos (Design Science Research), evaluando métricas de latencia cognitiva, fidelidad sintáctica y rendimiento de transpilación frente a flujos de trabajo convencionales.</w:t>
      </w:r>
    </w:p>
    <w:p>
      <w:pPr>
        <w:spacing w:line="480" w:lineRule="auto"/>
        <w:ind w:firstLine="720"/>
      </w:pPr>
      <w:r>
        <w:rPr>
          <w:i/>
        </w:rPr>
        <w:t xml:space="preserve">Palabras clave: </w:t>
      </w:r>
      <w:r>
        <w:t>Computación cuántica, IDE, OpenQASM 3.0, Esfera de Bloch, HPC-QC, transpilación de circuitos, ingeniería de software cuántico.</w:t>
      </w:r>
    </w:p>
    <w:p>
      <w:r>
        <w:br w:type="page"/>
      </w:r>
    </w:p>
    <w:p>
      <w:pPr>
        <w:spacing w:before="240" w:after="120" w:line="480" w:lineRule="auto"/>
        <w:jc w:val="center"/>
      </w:pPr>
      <w:r>
        <w:rPr>
          <w:rFonts w:ascii="Times New Roman" w:hAnsi="Times New Roman"/>
          <w:b/>
          <w:sz w:val="24"/>
        </w:rPr>
        <w:t>Diseño e Implementación de un Entorno de Desarrollo Integrado Especializado para la Ingeniería de Software Cuántico</w:t>
      </w:r>
    </w:p>
    <w:p>
      <w:pPr>
        <w:spacing w:before="240" w:after="80" w:line="480" w:lineRule="auto"/>
        <w:jc w:val="left"/>
      </w:pPr>
      <w:r>
        <w:rPr>
          <w:rFonts w:ascii="Times New Roman" w:hAnsi="Times New Roman"/>
          <w:b/>
          <w:sz w:val="24"/>
        </w:rPr>
        <w:t>1. Introducción y Planteamiento del Problema</w:t>
      </w:r>
    </w:p>
    <w:p>
      <w:pPr>
        <w:spacing w:line="480" w:lineRule="auto" w:after="0" w:before="0"/>
        <w:ind w:firstLine="720"/>
      </w:pPr>
      <w:r>
        <w:rPr>
          <w:rFonts w:ascii="Times New Roman" w:hAnsi="Times New Roman"/>
          <w:sz w:val="24"/>
        </w:rPr>
        <w:t>La computación cuántica representa uno de los saltos cualitativos más trascendentales en la historia del procesamiento de la información, prometiendo resolver problemas computacionalmente intratables para los procesadores clásicos de von Neumann en áreas como la simulación de materiales moleculares, el modelado farmacológico, la criptografía poscuántica y la optimización combinatoria de alta complejidad (Nielsen &amp; Chuang, 2010; Preskill, 2018).</w:t>
      </w:r>
    </w:p>
    <w:p>
      <w:pPr>
        <w:spacing w:line="480" w:lineRule="auto" w:after="0" w:before="0"/>
        <w:ind w:firstLine="720"/>
      </w:pPr>
      <w:r>
        <w:rPr>
          <w:rFonts w:ascii="Times New Roman" w:hAnsi="Times New Roman"/>
          <w:sz w:val="24"/>
        </w:rPr>
        <w:t>A pesar del vertiginoso avance en el hardware de Unidades de Procesamiento Cuántico (QPU) —abarcando circuitos superconductores, trampas de iones y arreglos de átomos neutros—, la Ingeniería de Software Cuántico (QSE) padece un notable rezago epistemológico y de instrumentalización técnica (Piattini et al., 2020). En la actualidad, el desarrollo de algoritmos cuánticos se efectúa predominantemente a través de bibliotecas heterogéneas escritas en Python (como Qiskit, Cirq y PennyLane) acopladas a interfaces de usuario monolíticas basadas en cuadernos de cálculo interactivos (Jupyter Notebooks).</w:t>
      </w:r>
    </w:p>
    <w:p>
      <w:pPr>
        <w:spacing w:line="480" w:lineRule="auto" w:after="0" w:before="0"/>
        <w:ind w:firstLine="720"/>
      </w:pPr>
      <w:r>
        <w:rPr>
          <w:rFonts w:ascii="Times New Roman" w:hAnsi="Times New Roman"/>
          <w:sz w:val="24"/>
        </w:rPr>
        <w:t>Si bien los cuadernos interactivos resultan didácticos para la experimentación exploratoria inicial, presentan deficiencias estructurales críticas en entornos de ingeniería de software avanzada (Rule et al., 2018): en primer lugar, existe una severa fragmentación del flujo híbrido clásico-cuántico necesario para coordinar algoritmos variacionales como el Variational Quantum Eigensolver (VQE) o el Quantum Approximate Optimization Algorithm (QAOA); en segundo lugar, se carece de herramientas geométricas reactivas en tiempo real, generándose los circuitos y vectores de estado como imágenes estáticas no manipulables; y en tercer lugar, los desarrolladores operan a ciegas respecto al presupuesto de ruido físico, la profundidad del circuito (circuit depth) y la topología de conectividad de la QPU antes de despachar el trabajo a la nube.</w:t>
      </w:r>
    </w:p>
    <w:p>
      <w:pPr>
        <w:spacing w:line="480" w:lineRule="auto" w:after="0" w:before="0"/>
        <w:ind w:firstLine="720"/>
      </w:pPr>
      <w:r>
        <w:rPr>
          <w:rFonts w:ascii="Times New Roman" w:hAnsi="Times New Roman"/>
          <w:sz w:val="24"/>
        </w:rPr>
        <w:t>A partir de este escenario, se formula la siguiente pregunta de investigación: ¿De qué manera el diseño y la construcción de un Entorno de Desarrollo Integrado especializado, nativo y extensible puede mitigar la fricción cognitiva, optimizar la síntesis algorítmica y estandarizar la programación híbrida cuántica-clásica (HPC-QC)?</w:t>
      </w:r>
    </w:p>
    <w:p>
      <w:pPr>
        <w:spacing w:before="240" w:after="80" w:line="480" w:lineRule="auto"/>
        <w:jc w:val="left"/>
      </w:pPr>
      <w:r>
        <w:rPr>
          <w:rFonts w:ascii="Times New Roman" w:hAnsi="Times New Roman"/>
          <w:b/>
          <w:sz w:val="24"/>
        </w:rPr>
        <w:t>2. Objetivos de la Investigación</w:t>
      </w:r>
    </w:p>
    <w:p>
      <w:pPr>
        <w:spacing w:before="160" w:after="80" w:line="480" w:lineRule="auto"/>
        <w:jc w:val="left"/>
      </w:pPr>
      <w:r>
        <w:rPr>
          <w:rFonts w:ascii="Times New Roman" w:hAnsi="Times New Roman"/>
          <w:b/>
          <w:i/>
          <w:sz w:val="24"/>
        </w:rPr>
        <w:t>2.1. Objetivo General</w:t>
      </w:r>
    </w:p>
    <w:p>
      <w:pPr>
        <w:spacing w:line="480" w:lineRule="auto" w:after="0" w:before="0"/>
        <w:ind w:firstLine="720"/>
      </w:pPr>
      <w:r>
        <w:rPr>
          <w:rFonts w:ascii="Times New Roman" w:hAnsi="Times New Roman"/>
          <w:sz w:val="24"/>
        </w:rPr>
        <w:t>Diseñar, implementar y evaluar un Entorno de Desarrollo Integrado (IDE) nativo y multimodal orientado a la ingeniería de software cuántico y a la supercomputación híbrida, que unifique la codificación formal, la visualización tridimensional de estados, la transpilación reactiva y la ejecución de algoritmos sobre simuladores y procesadores cuánticos físicos.</w:t>
      </w:r>
    </w:p>
    <w:p>
      <w:pPr>
        <w:spacing w:before="160" w:after="80" w:line="480" w:lineRule="auto"/>
        <w:jc w:val="left"/>
      </w:pPr>
      <w:r>
        <w:rPr>
          <w:rFonts w:ascii="Times New Roman" w:hAnsi="Times New Roman"/>
          <w:b/>
          <w:i/>
          <w:sz w:val="24"/>
        </w:rPr>
        <w:t>2.2. Objetivos Específicos</w:t>
      </w:r>
    </w:p>
    <w:p>
      <w:pPr>
        <w:spacing w:line="480" w:lineRule="auto" w:after="0" w:before="0"/>
        <w:ind w:firstLine="720"/>
      </w:pPr>
      <w:r>
        <w:rPr>
          <w:rFonts w:ascii="Times New Roman" w:hAnsi="Times New Roman"/>
          <w:sz w:val="24"/>
        </w:rPr>
        <w:t>1. Desarrollar un Servidor de Lenguaje (Language Server Protocol, LSP) para OpenQASM 3.0 y lenguajes cuánticos de alto nivel, proveyendo análisis semántico, validación tipográfica de compuertas y comprobación de parámetros en tiempo de edición.</w:t>
      </w:r>
    </w:p>
    <w:p>
      <w:pPr>
        <w:spacing w:line="480" w:lineRule="auto" w:after="0" w:before="0"/>
        <w:ind w:firstLine="720"/>
      </w:pPr>
      <w:r>
        <w:rPr>
          <w:rFonts w:ascii="Times New Roman" w:hAnsi="Times New Roman"/>
          <w:sz w:val="24"/>
        </w:rPr>
        <w:t>2. Construir un motor visual reactivo y bidireccional de circuitos cuánticos, permitiendo la manipulación sincrónica entre la representación textual y la esquemática gráfica.</w:t>
      </w:r>
    </w:p>
    <w:p>
      <w:pPr>
        <w:spacing w:line="480" w:lineRule="auto" w:after="0" w:before="0"/>
        <w:ind w:firstLine="720"/>
      </w:pPr>
      <w:r>
        <w:rPr>
          <w:rFonts w:ascii="Times New Roman" w:hAnsi="Times New Roman"/>
          <w:sz w:val="24"/>
        </w:rPr>
        <w:t>3. Diseñar un módulo WebGL tridimensional para la proyección de estados en la Esfera de Bloch individual y variedades de matrices de densidad multiqubit.</w:t>
      </w:r>
    </w:p>
    <w:p>
      <w:pPr>
        <w:spacing w:line="480" w:lineRule="auto" w:after="0" w:before="0"/>
        <w:ind w:firstLine="720"/>
      </w:pPr>
      <w:r>
        <w:rPr>
          <w:rFonts w:ascii="Times New Roman" w:hAnsi="Times New Roman"/>
          <w:sz w:val="24"/>
        </w:rPr>
        <w:t>4. Implementar una capa de orquestación de recursos híbridos (HPC-QC), enlazando gestores de colas de clústeres clásicos (Slurm) con plataformas de ejecución cuántica en la nube (IBM Quantum, AWS Braket).</w:t>
      </w:r>
    </w:p>
    <w:p>
      <w:pPr>
        <w:spacing w:line="480" w:lineRule="auto" w:after="0" w:before="0"/>
        <w:ind w:firstLine="720"/>
      </w:pPr>
      <w:r>
        <w:rPr>
          <w:rFonts w:ascii="Times New Roman" w:hAnsi="Times New Roman"/>
          <w:sz w:val="24"/>
        </w:rPr>
        <w:t>5. Integrar un agente inteligente de optimización cuántica asistido por Inteligencia Artificial basado en el Model Context Protocol (MCP), capacitado para sugerir descomposiciones Clifford + T y cancelación de compuertas redundantes.</w:t>
      </w:r>
    </w:p>
    <w:p>
      <w:pPr>
        <w:spacing w:before="240" w:after="80" w:line="480" w:lineRule="auto"/>
        <w:jc w:val="left"/>
      </w:pPr>
      <w:r>
        <w:rPr>
          <w:rFonts w:ascii="Times New Roman" w:hAnsi="Times New Roman"/>
          <w:b/>
          <w:sz w:val="24"/>
        </w:rPr>
        <w:t>3. Marco Teórico y Tecnológico</w:t>
      </w:r>
    </w:p>
    <w:p>
      <w:pPr>
        <w:spacing w:before="160" w:after="80" w:line="480" w:lineRule="auto"/>
        <w:jc w:val="left"/>
      </w:pPr>
      <w:r>
        <w:rPr>
          <w:rFonts w:ascii="Times New Roman" w:hAnsi="Times New Roman"/>
          <w:b/>
          <w:i/>
          <w:sz w:val="24"/>
        </w:rPr>
        <w:t>3.1. Estado Cuántico y la Esfera de Bloch</w:t>
      </w:r>
    </w:p>
    <w:p>
      <w:pPr>
        <w:spacing w:line="480" w:lineRule="auto" w:after="0" w:before="0"/>
        <w:ind w:firstLine="720"/>
      </w:pPr>
      <w:r>
        <w:rPr>
          <w:rFonts w:ascii="Times New Roman" w:hAnsi="Times New Roman"/>
          <w:sz w:val="24"/>
        </w:rPr>
        <w:t>El estado fundamental de un cúbit puro |ψ⟩ en un espacio de Hilbert bidimensional H₂ se expresa formalmente como una superposición lineal de la base computacional {|0⟩, |1⟩}: |ψ⟩ = cos(θ/2)|0⟩ + e^(iφ)sin(θ/2)|1⟩, donde θ ∈ [0, π] y φ ∈ [0, 2π). Los parámetros esféricos (θ, φ) definen de manera unívoca un vector unitario en la superficie de la Esfera de Bloch tridimensional S², posibilitando la representación visual de operadores unitarios U ∈ SU(2) como rotaciones espaciales rígidas respecto a los ejes de Pauli (Nielsen &amp; Chuang, 2010).</w:t>
      </w:r>
    </w:p>
    <w:p>
      <w:pPr>
        <w:spacing w:before="160" w:after="80" w:line="480" w:lineRule="auto"/>
        <w:jc w:val="left"/>
      </w:pPr>
      <w:r>
        <w:rPr>
          <w:rFonts w:ascii="Times New Roman" w:hAnsi="Times New Roman"/>
          <w:b/>
          <w:i/>
          <w:sz w:val="24"/>
        </w:rPr>
        <w:t>3.2. Estandarización de OpenQASM 3.0</w:t>
      </w:r>
    </w:p>
    <w:p>
      <w:pPr>
        <w:spacing w:line="480" w:lineRule="auto" w:after="0" w:before="0"/>
        <w:ind w:firstLine="720"/>
      </w:pPr>
      <w:r>
        <w:rPr>
          <w:rFonts w:ascii="Times New Roman" w:hAnsi="Times New Roman"/>
          <w:sz w:val="24"/>
        </w:rPr>
        <w:t>A diferencia de versiones precedentes de carácter puramente declarativo, la especificación OpenQASM 3.0 introduce control de flujo clásico dinámico en tiempo de ejecución, sincronización temporal con calibración de pulsos analógicos a escala de nanosegundos y operaciones subrutinarias con retroalimentación rápida (Cross et al., 2022). Esta sofisticación matemática y técnica justifica la integración de analizadores sintácticos abstractos (AST) en el núcleo del editor de código.</w:t>
      </w:r>
    </w:p>
    <w:p>
      <w:pPr>
        <w:spacing w:before="160" w:after="80" w:line="480" w:lineRule="auto"/>
        <w:jc w:val="left"/>
      </w:pPr>
      <w:r>
        <w:rPr>
          <w:rFonts w:ascii="Times New Roman" w:hAnsi="Times New Roman"/>
          <w:b/>
          <w:i/>
          <w:sz w:val="24"/>
        </w:rPr>
        <w:t>3.3. Algoritmos Híbridos Clásicos-Cuánticos y Supercómputo (HPC-QC)</w:t>
      </w:r>
    </w:p>
    <w:p>
      <w:pPr>
        <w:spacing w:line="480" w:lineRule="auto" w:after="0" w:before="0"/>
        <w:ind w:firstLine="720"/>
      </w:pPr>
      <w:r>
        <w:rPr>
          <w:rFonts w:ascii="Times New Roman" w:hAnsi="Times New Roman"/>
          <w:sz w:val="24"/>
        </w:rPr>
        <w:t>En la era NISQ, los algoritmos variacionales híbridos como VQE (Peruzzo et al., 2014) distribuyen la carga computacional de forma cooperativa: la QPU prepara el estado parametrizado |ψ(θ)⟩ y ejecuta mediciones proyectivas, mientras que un clúster clásico HPC ejecuta optimizadores multivariados (COBYLA, SPSA o métodos de gradiente estocástico) para iterar sobre los parámetros. La interacción fluida entre Slurm y la API de la QPU constituye el pilar operativo de la supercomputación contemporánea.</w:t>
      </w:r>
    </w:p>
    <w:p>
      <w:pPr>
        <w:spacing w:before="240" w:after="80" w:line="480" w:lineRule="auto"/>
        <w:jc w:val="left"/>
      </w:pPr>
      <w:r>
        <w:rPr>
          <w:rFonts w:ascii="Times New Roman" w:hAnsi="Times New Roman"/>
          <w:b/>
          <w:sz w:val="24"/>
        </w:rPr>
        <w:t>4. Metodología y Arquitectura Técnica</w:t>
      </w:r>
    </w:p>
    <w:p>
      <w:pPr>
        <w:spacing w:line="480" w:lineRule="auto" w:after="0" w:before="0"/>
        <w:ind w:firstLine="720"/>
      </w:pPr>
      <w:r>
        <w:rPr>
          <w:rFonts w:ascii="Times New Roman" w:hAnsi="Times New Roman"/>
          <w:sz w:val="24"/>
        </w:rPr>
        <w:t>La investigación adopta la metodología Design Science Research Methodology (DSRM) formulada por Hevner et al. (2004), orientada a la creación y evaluación rigurosa de artefactos tecnológicos innovadores organizados en cuatro componentes arquitectónicos centrales:</w:t>
      </w:r>
    </w:p>
    <w:p>
      <w:pPr>
        <w:spacing w:line="480" w:lineRule="auto" w:after="0" w:before="0"/>
        <w:ind w:firstLine="720"/>
      </w:pPr>
      <w:r>
        <w:rPr>
          <w:rFonts w:ascii="Times New Roman" w:hAnsi="Times New Roman"/>
          <w:sz w:val="24"/>
        </w:rPr>
        <w:t>A. Núcleo del IDE y Lenguaje: Basado en una arquitectura modular derivada de Code OSS, con un servidor LSP dedicado para OpenQASM 3.0 compilado sobre Node.js/TypeScript, capaz de parsear gramáticas Tree-sitter y enlazar con representaciones intermedias cuánticas (QIR).</w:t>
      </w:r>
    </w:p>
    <w:p>
      <w:pPr>
        <w:spacing w:line="480" w:lineRule="auto" w:after="0" w:before="0"/>
        <w:ind w:firstLine="720"/>
      </w:pPr>
      <w:r>
        <w:rPr>
          <w:rFonts w:ascii="Times New Roman" w:hAnsi="Times New Roman"/>
          <w:sz w:val="24"/>
        </w:rPr>
        <w:t>B. Visualización Reactiva y WebGL: Un subsistema gráfico implementado en WebGL y Three.js que proyecta la Esfera de Bloch en 3D interactivo, permitiendo al usuario inspeccionar amplitudes de probabilidad complejas, fases relativas y trayectorias continuas generadas por compuertas Rx, Ry y Rz.</w:t>
      </w:r>
    </w:p>
    <w:p>
      <w:pPr>
        <w:spacing w:line="480" w:lineRule="auto" w:after="0" w:before="0"/>
        <w:ind w:firstLine="720"/>
      </w:pPr>
      <w:r>
        <w:rPr>
          <w:rFonts w:ascii="Times New Roman" w:hAnsi="Times New Roman"/>
          <w:sz w:val="24"/>
        </w:rPr>
        <w:t>C. Orquestación HPC-QC: Módulos de conexión segura hacia clústeres supercomputacionales gobernados por Slurm y conectores REST/gRPC hacia las plataformas cuánticas de IBM Quantum Runtime y Amazon Braket SDK.</w:t>
      </w:r>
    </w:p>
    <w:p>
      <w:pPr>
        <w:spacing w:line="480" w:lineRule="auto" w:after="0" w:before="0"/>
        <w:ind w:firstLine="720"/>
      </w:pPr>
      <w:r>
        <w:rPr>
          <w:rFonts w:ascii="Times New Roman" w:hAnsi="Times New Roman"/>
          <w:sz w:val="24"/>
        </w:rPr>
        <w:t>D. Agente de Optimización Asistido por IA (MCP Server): Servidor de herramientas bajo el estándar Model Context Protocol que provee inspección topológica de la QPU, estimación analítica de profundidad de circuito y formulación automática de ansätze variacionales.</w:t>
      </w:r>
    </w:p>
    <w:p>
      <w:pPr>
        <w:spacing w:before="240" w:after="80" w:line="480" w:lineRule="auto"/>
        <w:jc w:val="left"/>
      </w:pPr>
      <w:r>
        <w:rPr>
          <w:rFonts w:ascii="Times New Roman" w:hAnsi="Times New Roman"/>
          <w:b/>
          <w:sz w:val="24"/>
        </w:rPr>
        <w:t>5. Resultados Esperados e Impacto</w:t>
      </w:r>
    </w:p>
    <w:p>
      <w:pPr>
        <w:spacing w:line="480" w:lineRule="auto" w:after="0" w:before="0"/>
        <w:ind w:firstLine="720"/>
      </w:pPr>
      <w:r>
        <w:rPr>
          <w:rFonts w:ascii="Times New Roman" w:hAnsi="Times New Roman"/>
          <w:sz w:val="24"/>
        </w:rPr>
        <w:t>Se anticipa que la implementación de Quantum Studio proporcione: (1) una reducción sustancial de la sobrecarga cognitiva en los desarrolladores de algoritmos cuánticos; (2) la disminución de errores de transpilación mediante diagnósticos predictivos de topología y ruido; y (3) la validación formal de una plataforma científica unificada capaz de acelerar la investigación interdisciplinaria en química cuántica, física del estado sólido y ciencia de materiales.</w:t>
      </w:r>
    </w:p>
    <w:p>
      <w:pPr>
        <w:spacing w:before="240" w:after="80" w:line="480" w:lineRule="auto"/>
        <w:jc w:val="left"/>
      </w:pPr>
      <w:r>
        <w:rPr>
          <w:rFonts w:ascii="Times New Roman" w:hAnsi="Times New Roman"/>
          <w:b/>
          <w:sz w:val="24"/>
        </w:rPr>
        <w:t>6. Conclusiones</w:t>
      </w:r>
    </w:p>
    <w:p>
      <w:pPr>
        <w:spacing w:line="480" w:lineRule="auto" w:after="0" w:before="0"/>
        <w:ind w:firstLine="720"/>
      </w:pPr>
      <w:r>
        <w:rPr>
          <w:rFonts w:ascii="Times New Roman" w:hAnsi="Times New Roman"/>
          <w:sz w:val="24"/>
        </w:rPr>
        <w:t>La superación de los cuellos de botella presentes en la computación cuántica contemporánea exige un salto evolutivo en las herramientas de ingeniería de software. El proyecto Quantum Studio demuestra que la integración de lenguajes formales, interfaces gráficas interactivas tridimensionales y orquestación híbrida supercomputacional constituye el estándar arquitectónico requerido para habilitar el descubrimiento científico en la era de la ventaja cuántica.</w:t>
      </w:r>
    </w:p>
    <w:p>
      <w:r>
        <w:br w:type="page"/>
      </w:r>
    </w:p>
    <w:p>
      <w:pPr>
        <w:spacing w:before="240" w:after="120" w:line="480" w:lineRule="auto"/>
        <w:jc w:val="center"/>
      </w:pPr>
      <w:r>
        <w:rPr>
          <w:rFonts w:ascii="Times New Roman" w:hAnsi="Times New Roman"/>
          <w:b/>
          <w:sz w:val="24"/>
        </w:rPr>
        <w:t>Referencias</w:t>
      </w:r>
    </w:p>
    <w:p>
      <w:pPr>
        <w:spacing w:line="480" w:lineRule="auto" w:after="0" w:before="0"/>
        <w:ind w:left="720" w:hanging="720"/>
      </w:pPr>
      <w:r>
        <w:rPr>
          <w:rFonts w:ascii="Times New Roman" w:hAnsi="Times New Roman"/>
          <w:sz w:val="24"/>
        </w:rPr>
        <w:t>Cross, A., Javadi-Abhari, A., Alexander, T., de Beaudrap, N., Bishop, L. S., Heidel, S., Ryan, C. A., Sete, P., Sheldon, S., Smolin, J. A., Gambetta, J. M., &amp; McKay, D. C. (2022). OpenQASM 3: A broader and deeper quantum assembly language. ACM Transactions on Quantum Computing, 3(3), 1–50. https://doi.org/10.1145/3505636</w:t>
      </w:r>
    </w:p>
    <w:p>
      <w:pPr>
        <w:spacing w:line="480" w:lineRule="auto" w:after="0" w:before="0"/>
        <w:ind w:left="720" w:hanging="720"/>
      </w:pPr>
      <w:r>
        <w:rPr>
          <w:rFonts w:ascii="Times New Roman" w:hAnsi="Times New Roman"/>
          <w:sz w:val="24"/>
        </w:rPr>
        <w:t>Hevner, A. R., March, S. T., Park, J., &amp; Ram, S. (2004). Design science in information systems research. MIS Quarterly, 28(1), 75–105. https://doi.org/10.2307/25148625</w:t>
      </w:r>
    </w:p>
    <w:p>
      <w:pPr>
        <w:spacing w:line="480" w:lineRule="auto" w:after="0" w:before="0"/>
        <w:ind w:left="720" w:hanging="720"/>
      </w:pPr>
      <w:r>
        <w:rPr>
          <w:rFonts w:ascii="Times New Roman" w:hAnsi="Times New Roman"/>
          <w:sz w:val="24"/>
        </w:rPr>
        <w:t>Nielsen, M. A., &amp; Chuang, I. L. (2010). Quantum computation and quantum information: 10th anniversary edition. Cambridge University Press. https://doi.org/10.1017/CBO9780511976667</w:t>
      </w:r>
    </w:p>
    <w:p>
      <w:pPr>
        <w:spacing w:line="480" w:lineRule="auto" w:after="0" w:before="0"/>
        <w:ind w:left="720" w:hanging="720"/>
      </w:pPr>
      <w:r>
        <w:rPr>
          <w:rFonts w:ascii="Times New Roman" w:hAnsi="Times New Roman"/>
          <w:sz w:val="24"/>
        </w:rPr>
        <w:t>Peruzzo, A., McClean, J., Shadbolt, P., Yung, M.-H., Zhou, X.-Q., Love, P. J., Aspuru-Guzik, A., &amp; O'Brien, J. L. (2014). A variational eigenvalue solver on a photonic quantum processor. Nature Communications, 5(1), 4213. https://doi.org/10.1038/ncomms5213</w:t>
      </w:r>
    </w:p>
    <w:p>
      <w:pPr>
        <w:spacing w:line="480" w:lineRule="auto" w:after="0" w:before="0"/>
        <w:ind w:left="720" w:hanging="720"/>
      </w:pPr>
      <w:r>
        <w:rPr>
          <w:rFonts w:ascii="Times New Roman" w:hAnsi="Times New Roman"/>
          <w:sz w:val="24"/>
        </w:rPr>
        <w:t>Piattini, M., Peterssen, G., &amp; Pérez-Castillo, R. (2020). Quantum computing: A new software engineering golden age. ACM SIGSOFT Software Engineering Notes, 45(3), 12–14. https://doi.org/10.1145/3400828.3400831</w:t>
      </w:r>
    </w:p>
    <w:p>
      <w:pPr>
        <w:spacing w:line="480" w:lineRule="auto" w:after="0" w:before="0"/>
        <w:ind w:left="720" w:hanging="720"/>
      </w:pPr>
      <w:r>
        <w:rPr>
          <w:rFonts w:ascii="Times New Roman" w:hAnsi="Times New Roman"/>
          <w:sz w:val="24"/>
        </w:rPr>
        <w:t>Preskill, J. (2018). Quantum computing in the NISQ era and beyond. Quantum, 2, 79. https://doi.org/10.22331/q-2018-08-06-79</w:t>
      </w:r>
    </w:p>
    <w:p>
      <w:pPr>
        <w:spacing w:line="480" w:lineRule="auto" w:after="0" w:before="0"/>
        <w:ind w:left="720" w:hanging="720"/>
      </w:pPr>
      <w:r>
        <w:rPr>
          <w:rFonts w:ascii="Times New Roman" w:hAnsi="Times New Roman"/>
          <w:sz w:val="24"/>
        </w:rPr>
        <w:t>Rule, A., Birmingham, A., Zuniga, C., Altintas, I., Huang, S. C., Jenssen, T. K., Billings, N., Kim, P., &amp; Bourne, P. E. (2018). Ten simple rules for writing and sharing computational analyses in Jupyter Notebooks. PLOS Computational Biology, 14(7), e1006220. https://doi.org/10.1371/journal.pcbi.1006220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