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22"/>
          <w:szCs w:val="22"/>
        </w:rPr>
        <w:t xml:space="preserve">Release Slate Density Supports Above-Seasonal Paid Streaming Growth</w:t>
      </w:r>
    </w:p>
    <w:p>
      <w:pPr>
        <w:spacing w:after="200" w:line="276"/>
      </w:pPr>
      <w:r>
        <w:rPr>
          <w:rFonts w:ascii="Arial" w:cs="Arial" w:eastAsia="Arial" w:hAnsi="Arial"/>
          <w:sz w:val="22"/>
          <w:szCs w:val="22"/>
        </w:rPr>
        <w:t xml:space="preserve">Consensus models for WMG typically embed calendar Q1 softness in paid streaming growth, reflecting post-holiday engagement normalization and subscriber churn patterns. We think the FY26 release slate — particularly the concentration of tentpole albums in fiscal Q4 2025 and fiscal Q2 2026 — provides a concrete, bottom-up reason to expect paid streaming revenue to outperform that seasonal assumption.</w:t>
      </w:r>
    </w:p>
    <w:p>
      <w:pPr>
        <w:spacing w:after="200" w:line="276"/>
      </w:pPr>
      <w:r>
        <w:rPr>
          <w:rFonts w:ascii="Arial" w:cs="Arial" w:eastAsia="Arial" w:hAnsi="Arial"/>
          <w:sz w:val="22"/>
          <w:szCs w:val="22"/>
        </w:rPr>
        <w:t xml:space="preserve">WMG’s fiscal Q4 2025 (calendar Q3) delivered three major new album releases in the final ten weeks of the quarter: </w:t>
      </w:r>
      <w:r>
        <w:rPr>
          <w:rFonts w:ascii="Arial" w:cs="Arial" w:eastAsia="Arial" w:hAnsi="Arial"/>
          <w:sz w:val="22"/>
          <w:szCs w:val="22"/>
        </w:rPr>
        <w:t xml:space="preserve">Cardi B’s </w:t>
      </w:r>
      <w:r>
        <w:rPr>
          <w:rFonts w:ascii="Arial" w:cs="Arial" w:eastAsia="Arial" w:hAnsi="Arial"/>
          <w:i/>
          <w:iCs/>
          <w:sz w:val="22"/>
          <w:szCs w:val="22"/>
        </w:rPr>
        <w:t xml:space="preserve">Am I The Drama?</w:t>
      </w:r>
      <w:r>
        <w:rPr>
          <w:rFonts w:ascii="Arial" w:cs="Arial" w:eastAsia="Arial" w:hAnsi="Arial"/>
          <w:sz w:val="22"/>
          <w:szCs w:val="22"/>
        </w:rPr>
        <w:t xml:space="preserve"> (Sep 19, #1 Billboard 200, 3x Platinum), </w:t>
      </w:r>
      <w:r>
        <w:rPr>
          <w:rFonts w:ascii="Arial" w:cs="Arial" w:eastAsia="Arial" w:hAnsi="Arial"/>
          <w:sz w:val="22"/>
          <w:szCs w:val="22"/>
        </w:rPr>
        <w:t xml:space="preserve">Ed Sheeran’s </w:t>
      </w:r>
      <w:r>
        <w:rPr>
          <w:rFonts w:ascii="Arial" w:cs="Arial" w:eastAsia="Arial" w:hAnsi="Arial"/>
          <w:i/>
          <w:iCs/>
          <w:sz w:val="22"/>
          <w:szCs w:val="22"/>
        </w:rPr>
        <w:t xml:space="preserve">Play</w:t>
      </w:r>
      <w:r>
        <w:rPr>
          <w:rFonts w:ascii="Arial" w:cs="Arial" w:eastAsia="Arial" w:hAnsi="Arial"/>
          <w:sz w:val="22"/>
          <w:szCs w:val="22"/>
        </w:rPr>
        <w:t xml:space="preserve"> (Sep 12, #1 UK, #5 US), and </w:t>
      </w:r>
      <w:r>
        <w:rPr>
          <w:rFonts w:ascii="Arial" w:cs="Arial" w:eastAsia="Arial" w:hAnsi="Arial"/>
          <w:sz w:val="22"/>
          <w:szCs w:val="22"/>
        </w:rPr>
        <w:t xml:space="preserve">Alex Warren’s </w:t>
      </w:r>
      <w:r>
        <w:rPr>
          <w:rFonts w:ascii="Arial" w:cs="Arial" w:eastAsia="Arial" w:hAnsi="Arial"/>
          <w:i/>
          <w:iCs/>
          <w:sz w:val="22"/>
          <w:szCs w:val="22"/>
        </w:rPr>
        <w:t xml:space="preserve">You’ll Be Alright, Kid</w:t>
      </w:r>
      <w:r>
        <w:rPr>
          <w:rFonts w:ascii="Arial" w:cs="Arial" w:eastAsia="Arial" w:hAnsi="Arial"/>
          <w:sz w:val="22"/>
          <w:szCs w:val="22"/>
        </w:rPr>
        <w:t xml:space="preserve"> (Jul 18, gold-certified day one, “Ordinary” #1 Hot 100 for five weeks). This late-quarter concentration created a streaming halo effect that carried directly into fiscal Q1 (calendar Q4), where all three were again cited as top sellers alongside new releases from Fred again.., Aya Nakamura, and Robert Plant. The result: subscription streaming revenue grew 10.9% Y/Y constant currency in FQ1, defying typical seasonal deceleration.</w:t>
      </w:r>
    </w:p>
    <w:p>
      <w:pPr>
        <w:spacing w:after="200" w:line="276"/>
      </w:pPr>
      <w:r>
        <w:rPr>
          <w:rFonts w:ascii="Arial" w:cs="Arial" w:eastAsia="Arial" w:hAnsi="Arial"/>
          <w:sz w:val="22"/>
          <w:szCs w:val="22"/>
        </w:rPr>
        <w:t xml:space="preserve">Looking ahead to FQ2 (calendar Q1 2026), the release slate is the densest in recent WMG history, with tentpole albums from </w:t>
      </w:r>
      <w:r>
        <w:rPr>
          <w:rFonts w:ascii="Arial" w:cs="Arial" w:eastAsia="Arial" w:hAnsi="Arial"/>
          <w:b/>
          <w:bCs/>
          <w:sz w:val="22"/>
          <w:szCs w:val="22"/>
        </w:rPr>
        <w:t xml:space="preserve">Zach Bryan</w:t>
      </w:r>
      <w:r>
        <w:rPr>
          <w:rFonts w:ascii="Arial" w:cs="Arial" w:eastAsia="Arial" w:hAnsi="Arial"/>
          <w:sz w:val="22"/>
          <w:szCs w:val="22"/>
        </w:rPr>
        <w:t xml:space="preserve"> (#1 Billboard 200 on release), </w:t>
      </w:r>
      <w:r>
        <w:rPr>
          <w:rFonts w:ascii="Arial" w:cs="Arial" w:eastAsia="Arial" w:hAnsi="Arial"/>
          <w:b/>
          <w:bCs/>
          <w:sz w:val="22"/>
          <w:szCs w:val="22"/>
        </w:rPr>
        <w:t xml:space="preserve">Bruno Mars</w:t>
      </w:r>
      <w:r>
        <w:rPr>
          <w:rFonts w:ascii="Arial" w:cs="Arial" w:eastAsia="Arial" w:hAnsi="Arial"/>
          <w:sz w:val="22"/>
          <w:szCs w:val="22"/>
        </w:rPr>
        <w:t xml:space="preserve"> (</w:t>
      </w:r>
      <w:r>
        <w:rPr>
          <w:rFonts w:ascii="Arial" w:cs="Arial" w:eastAsia="Arial" w:hAnsi="Arial"/>
          <w:i/>
          <w:iCs/>
          <w:sz w:val="22"/>
          <w:szCs w:val="22"/>
        </w:rPr>
        <w:t xml:space="preserve">The Romantic</w:t>
      </w:r>
      <w:r>
        <w:rPr>
          <w:rFonts w:ascii="Arial" w:cs="Arial" w:eastAsia="Arial" w:hAnsi="Arial"/>
          <w:sz w:val="22"/>
          <w:szCs w:val="22"/>
        </w:rPr>
        <w:t xml:space="preserve">, preceded by a #1 Hot 100 single), </w:t>
      </w:r>
      <w:r>
        <w:rPr>
          <w:rFonts w:ascii="Arial" w:cs="Arial" w:eastAsia="Arial" w:hAnsi="Arial"/>
          <w:b/>
          <w:bCs/>
          <w:sz w:val="22"/>
          <w:szCs w:val="22"/>
        </w:rPr>
        <w:t xml:space="preserve">Charli XCX</w:t>
      </w:r>
      <w:r>
        <w:rPr>
          <w:rFonts w:ascii="Arial" w:cs="Arial" w:eastAsia="Arial" w:hAnsi="Arial"/>
          <w:sz w:val="22"/>
          <w:szCs w:val="22"/>
        </w:rPr>
        <w:t xml:space="preserve">, </w:t>
      </w:r>
      <w:r>
        <w:rPr>
          <w:rFonts w:ascii="Arial" w:cs="Arial" w:eastAsia="Arial" w:hAnsi="Arial"/>
          <w:b/>
          <w:bCs/>
          <w:sz w:val="22"/>
          <w:szCs w:val="22"/>
        </w:rPr>
        <w:t xml:space="preserve">Jack Harlow</w:t>
      </w:r>
      <w:r>
        <w:rPr>
          <w:rFonts w:ascii="Arial" w:cs="Arial" w:eastAsia="Arial" w:hAnsi="Arial"/>
          <w:sz w:val="22"/>
          <w:szCs w:val="22"/>
        </w:rPr>
        <w:t xml:space="preserve">, </w:t>
      </w:r>
      <w:r>
        <w:rPr>
          <w:rFonts w:ascii="Arial" w:cs="Arial" w:eastAsia="Arial" w:hAnsi="Arial"/>
          <w:b/>
          <w:bCs/>
          <w:sz w:val="22"/>
          <w:szCs w:val="22"/>
        </w:rPr>
        <w:t xml:space="preserve">Don Toliver</w:t>
      </w:r>
      <w:r>
        <w:rPr>
          <w:rFonts w:ascii="Arial" w:cs="Arial" w:eastAsia="Arial" w:hAnsi="Arial"/>
          <w:sz w:val="22"/>
          <w:szCs w:val="22"/>
        </w:rPr>
        <w:t xml:space="preserve">, and a </w:t>
      </w:r>
      <w:r>
        <w:rPr>
          <w:rFonts w:ascii="Arial" w:cs="Arial" w:eastAsia="Arial" w:hAnsi="Arial"/>
          <w:b/>
          <w:bCs/>
          <w:sz w:val="22"/>
          <w:szCs w:val="22"/>
        </w:rPr>
        <w:t xml:space="preserve">Gnarls Barkley</w:t>
      </w:r>
      <w:r>
        <w:rPr>
          <w:rFonts w:ascii="Arial" w:cs="Arial" w:eastAsia="Arial" w:hAnsi="Arial"/>
          <w:sz w:val="22"/>
          <w:szCs w:val="22"/>
        </w:rPr>
        <w:t xml:space="preserve"> comeback — stacking 8 tentpoles versus 4 in the year-ago quarter. For context, FY25’s FQ2 produced the softest subscription streaming print of the year at +3.2% Y/Y CC, driven in part by a lighter release slate and challenging Linkin Park comps.</w:t>
      </w:r>
    </w:p>
    <w:p>
      <w:pPr>
        <w:spacing w:after="200" w:line="276"/>
      </w:pPr>
      <w:r>
        <w:rPr>
          <w:rFonts w:ascii="Arial" w:cs="Arial" w:eastAsia="Arial" w:hAnsi="Arial"/>
          <w:sz w:val="22"/>
          <w:szCs w:val="22"/>
        </w:rPr>
        <w:t xml:space="preserve">Layer this on top of management’s commentary that contractual DSP rate increases begin in FQ2 and phase through FY26, and you get a double tailwind — higher share-of-streams from a stronger release slate plus higher per-stream economics from pricing — that consensus models anchored to seasonal norms are likely underweighting. Additionally, prior-year tentpoles (Ed Sheeran’s </w:t>
      </w:r>
      <w:r>
        <w:rPr>
          <w:rFonts w:ascii="Arial" w:cs="Arial" w:eastAsia="Arial" w:hAnsi="Arial"/>
          <w:i/>
          <w:iCs/>
          <w:sz w:val="22"/>
          <w:szCs w:val="22"/>
        </w:rPr>
        <w:t xml:space="preserve">Play</w:t>
      </w:r>
      <w:r>
        <w:rPr>
          <w:rFonts w:ascii="Arial" w:cs="Arial" w:eastAsia="Arial" w:hAnsi="Arial"/>
          <w:sz w:val="22"/>
          <w:szCs w:val="22"/>
        </w:rPr>
        <w:t xml:space="preserve">, Cardi B, Alex Warren) continue to generate elevated catalog streams into FY26 H1, providing a floor under WMG’s share-of-streams even before the new slate’s impact.</w:t>
      </w:r>
    </w:p>
    <w:p>
      <w:pPr>
        <w:pStyle w:val="Heading2"/>
      </w:pPr>
      <w:r>
        <w:rPr>
          <w:rFonts w:ascii="Arial" w:cs="Arial" w:eastAsia="Arial" w:hAnsi="Arial"/>
          <w:b/>
          <w:bCs/>
          <w:sz w:val="22"/>
          <w:szCs w:val="22"/>
        </w:rPr>
        <w:t xml:space="preserve">Exhibit 1: WMG Notable Release Count &amp; Paid Streaming Growth, FY25 vs FY26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300"/>
        <w:gridCol w:w="1300"/>
      </w:tblGrid>
      <w:tr>
        <w:tc>
          <w:tcPr>
            <w:tcW w:type="dxa" w:w="2800"/>
            <w:tcBorders>
              <w:top w:val="single" w:color="B4B4B4" w:sz="1"/>
              <w:left w:val="single" w:color="B4B4B4" w:sz="1"/>
              <w:bottom w:val="single" w:color="B4B4B4" w:sz="1"/>
              <w:right w:val="single" w:color="B4B4B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300"/>
            <w:tcBorders>
              <w:top w:val="single" w:color="B4B4B4" w:sz="1"/>
              <w:left w:val="single" w:color="B4B4B4" w:sz="1"/>
              <w:bottom w:val="single" w:color="B4B4B4" w:sz="1"/>
              <w:right w:val="single" w:color="B4B4B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FQ1
Oct-Dec</w:t>
            </w:r>
          </w:p>
        </w:tc>
        <w:tc>
          <w:tcPr>
            <w:tcW w:type="dxa" w:w="1300"/>
            <w:tcBorders>
              <w:top w:val="single" w:color="B4B4B4" w:sz="1"/>
              <w:left w:val="single" w:color="B4B4B4" w:sz="1"/>
              <w:bottom w:val="single" w:color="B4B4B4" w:sz="1"/>
              <w:right w:val="single" w:color="B4B4B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FQ2
Jan-Mar</w:t>
            </w:r>
          </w:p>
        </w:tc>
        <w:tc>
          <w:tcPr>
            <w:tcW w:type="dxa" w:w="1300"/>
            <w:tcBorders>
              <w:top w:val="single" w:color="B4B4B4" w:sz="1"/>
              <w:left w:val="single" w:color="B4B4B4" w:sz="1"/>
              <w:bottom w:val="single" w:color="B4B4B4" w:sz="1"/>
              <w:right w:val="single" w:color="B4B4B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FQ3
Apr-Jun</w:t>
            </w:r>
          </w:p>
        </w:tc>
        <w:tc>
          <w:tcPr>
            <w:tcW w:type="dxa" w:w="1300"/>
            <w:tcBorders>
              <w:top w:val="single" w:color="B4B4B4" w:sz="1"/>
              <w:left w:val="single" w:color="B4B4B4" w:sz="1"/>
              <w:bottom w:val="single" w:color="B4B4B4" w:sz="1"/>
              <w:right w:val="single" w:color="B4B4B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FQ4
Jul-Sep</w:t>
            </w:r>
          </w:p>
        </w:tc>
        <w:tc>
          <w:tcPr>
            <w:tcW w:type="dxa" w:w="1300"/>
            <w:tcBorders>
              <w:top w:val="single" w:color="B4B4B4" w:sz="1"/>
              <w:left w:val="single" w:color="B4B4B4" w:sz="1"/>
              <w:bottom w:val="single" w:color="B4B4B4" w:sz="1"/>
              <w:right w:val="single" w:color="B4B4B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FY Total</w:t>
            </w:r>
          </w:p>
        </w:tc>
      </w:tr>
      <w:tr>
        <w:tc>
          <w:tcPr>
            <w:tcW w:type="dxa" w:w="28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FY2025</w:t>
            </w:r>
          </w:p>
        </w:tc>
        <w:tc>
          <w:tcPr>
            <w:tcW w:type="dxa" w:w="13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
            </w:r>
          </w:p>
        </w:tc>
      </w:tr>
      <w:tr>
        <w:tc>
          <w:tcPr>
            <w:tcW w:type="dxa" w:w="2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Tentpole Albums</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13</w:t>
            </w:r>
          </w:p>
        </w:tc>
      </w:tr>
      <w:tr>
        <w:tc>
          <w:tcPr>
            <w:tcW w:type="dxa" w:w="2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Total Notable Releases</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37</w:t>
            </w:r>
          </w:p>
        </w:tc>
      </w:tr>
      <w:tr>
        <w:tc>
          <w:tcPr>
            <w:tcW w:type="dxa" w:w="2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Sub Streaming YoY (CC)</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FF"/>
                <w:sz w:val="18"/>
                <w:szCs w:val="18"/>
              </w:rPr>
              <w:t xml:space="preserve">10.0%</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FF"/>
                <w:sz w:val="18"/>
                <w:szCs w:val="18"/>
              </w:rPr>
              <w:t xml:space="preserve">3.2%</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FF"/>
                <w:sz w:val="18"/>
                <w:szCs w:val="18"/>
              </w:rPr>
              <w:t xml:space="preserve">5.0%</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FF"/>
                <w:sz w:val="18"/>
                <w:szCs w:val="18"/>
              </w:rPr>
              <w:t xml:space="preserve">8.2%</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8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FY2026</w:t>
            </w:r>
          </w:p>
        </w:tc>
        <w:tc>
          <w:tcPr>
            <w:tcW w:type="dxa" w:w="13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
            </w:r>
          </w:p>
        </w:tc>
      </w:tr>
      <w:tr>
        <w:tc>
          <w:tcPr>
            <w:tcW w:type="dxa" w:w="2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Tentpole Albums</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300"/>
            <w:tcBorders>
              <w:top w:val="single" w:color="B4B4B4" w:sz="1"/>
              <w:left w:val="single" w:color="B4B4B4" w:sz="1"/>
              <w:bottom w:val="single" w:color="B4B4B4" w:sz="1"/>
              <w:right w:val="single" w:color="B4B4B4" w:sz="1"/>
            </w:tcBorders>
            <w:shd w:fill="E2EFDA"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8</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iCs/>
                <w:color w:val="808080"/>
                <w:sz w:val="18"/>
                <w:szCs w:val="18"/>
              </w:rPr>
              <w:t xml:space="preserve">TBD</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iCs/>
                <w:color w:val="808080"/>
                <w:sz w:val="18"/>
                <w:szCs w:val="18"/>
              </w:rPr>
              <w:t xml:space="preserve">TBD</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Total Notable Releases</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1300"/>
            <w:tcBorders>
              <w:top w:val="single" w:color="B4B4B4" w:sz="1"/>
              <w:left w:val="single" w:color="B4B4B4" w:sz="1"/>
              <w:bottom w:val="single" w:color="B4B4B4" w:sz="1"/>
              <w:right w:val="single" w:color="B4B4B4" w:sz="1"/>
            </w:tcBorders>
            <w:shd w:fill="E2EFDA"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18</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iCs/>
                <w:color w:val="808080"/>
                <w:sz w:val="18"/>
                <w:szCs w:val="18"/>
              </w:rPr>
              <w:t xml:space="preserve">TBD</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iCs/>
                <w:color w:val="808080"/>
                <w:sz w:val="18"/>
                <w:szCs w:val="18"/>
              </w:rPr>
              <w:t xml:space="preserve">TBD</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Sub Streaming YoY (CC)</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bCs/>
                <w:i w:val="false"/>
                <w:iCs w:val="false"/>
                <w:color w:val="0000FF"/>
                <w:sz w:val="18"/>
                <w:szCs w:val="18"/>
              </w:rPr>
              <w:t xml:space="preserve">10.9%</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iCs/>
                <w:color w:val="808080"/>
                <w:sz w:val="18"/>
                <w:szCs w:val="18"/>
              </w:rPr>
              <w:t xml:space="preserve">TBD</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iCs/>
                <w:color w:val="808080"/>
                <w:sz w:val="18"/>
                <w:szCs w:val="18"/>
              </w:rPr>
              <w:t xml:space="preserve">TBD</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iCs/>
                <w:color w:val="808080"/>
                <w:sz w:val="18"/>
                <w:szCs w:val="18"/>
              </w:rPr>
              <w:t xml:space="preserve">TBD</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FQ2 Tentpole Delta (Y/Y)</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shd w:fill="E2EFDA" w:val="clear"/>
            <w:tcMar>
              <w:top w:type="dxa" w:w="60"/>
              <w:left w:type="dxa" w:w="100"/>
              <w:bottom w:type="dxa" w:w="60"/>
              <w:right w:type="dxa" w:w="100"/>
            </w:tcMar>
            <w:vAlign w:val="center"/>
          </w:tcPr>
          <w:p>
            <w:pPr>
              <w:jc w:val="center"/>
            </w:pPr>
            <w:r>
              <w:rPr>
                <w:rFonts w:ascii="Arial" w:cs="Arial" w:eastAsia="Arial" w:hAnsi="Arial"/>
                <w:b/>
                <w:bCs/>
                <w:i w:val="false"/>
                <w:iCs w:val="false"/>
                <w:color w:val="006100"/>
                <w:sz w:val="18"/>
                <w:szCs w:val="18"/>
              </w:rPr>
              <w:t xml:space="preserve">+4 (+100%)</w:t>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r>
    </w:tbl>
    <w:p>
      <w:pPr>
        <w:spacing w:after="300" w:before="60"/>
      </w:pPr>
      <w:r>
        <w:rPr>
          <w:rFonts w:ascii="Arial" w:cs="Arial" w:eastAsia="Arial" w:hAnsi="Arial"/>
          <w:i/>
          <w:iCs/>
          <w:color w:val="808080"/>
          <w:sz w:val="16"/>
          <w:szCs w:val="16"/>
        </w:rPr>
        <w:t xml:space="preserve">Source: WMG 10-Q/8-K filings, Wikipedia album databases, trade publications. Tentpole = major artist with chart-topping commercial expectation. Green = key Y/Y comparison.</w:t>
      </w:r>
    </w:p>
    <w:p>
      <w:pPr>
        <w:pStyle w:val="Heading2"/>
      </w:pPr>
      <w:r>
        <w:rPr>
          <w:rFonts w:ascii="Arial" w:cs="Arial" w:eastAsia="Arial" w:hAnsi="Arial"/>
          <w:b/>
          <w:bCs/>
          <w:sz w:val="22"/>
          <w:szCs w:val="22"/>
        </w:rPr>
        <w:t xml:space="preserve">Exhibit 2: Tentpole Release Count vs. Subscription Streaming Growth</w:t>
      </w:r>
    </w:p>
    <w:p>
      <w:pPr>
        <w:spacing w:after="80"/>
        <w:jc w:val="center"/>
      </w:pPr>
      <w:r>
        <w:drawing>
          <wp:inline distT="0" distB="0" distL="0" distR="0">
            <wp:extent cx="6477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3200400"/>
                    </a:xfrm>
                    <a:prstGeom prst="rect">
                      <a:avLst/>
                    </a:prstGeom>
                  </pic:spPr>
                </pic:pic>
              </a:graphicData>
            </a:graphic>
          </wp:inline>
        </w:drawing>
      </w:r>
    </w:p>
    <w:p>
      <w:pPr>
        <w:spacing w:after="300" w:before="60"/>
      </w:pPr>
      <w:r>
        <w:rPr>
          <w:rFonts w:ascii="Arial" w:cs="Arial" w:eastAsia="Arial" w:hAnsi="Arial"/>
          <w:i/>
          <w:iCs/>
          <w:color w:val="808080"/>
          <w:sz w:val="16"/>
          <w:szCs w:val="16"/>
        </w:rPr>
        <w:t xml:space="preserve">Source: WMG SEC filings (streaming growth), company release tracker (tentpole counts). FY26 Q3/Q4 TBD. Chart demonstrates positive correlation between tentpole density and subscription streaming growth acceleration.</w:t>
      </w:r>
    </w:p>
    <w:p>
      <w:pPr>
        <w:pStyle w:val="Heading2"/>
      </w:pPr>
      <w:r>
        <w:rPr>
          <w:rFonts w:ascii="Arial" w:cs="Arial" w:eastAsia="Arial" w:hAnsi="Arial"/>
          <w:b/>
          <w:bCs/>
          <w:sz w:val="22"/>
          <w:szCs w:val="22"/>
        </w:rPr>
        <w:t xml:space="preserve">Exhibit 3: WMG Fiscal H1 Named Release Slate, FY26 vs FY25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1200"/>
        <w:gridCol w:w="2760"/>
      </w:tblGrid>
      <w:tr>
        <w:tc>
          <w:tcPr>
            <w:tcW w:type="dxa" w:w="1800"/>
            <w:tcBorders>
              <w:top w:val="single" w:color="B4B4B4" w:sz="1"/>
              <w:left w:val="single" w:color="B4B4B4" w:sz="1"/>
              <w:bottom w:val="single" w:color="B4B4B4" w:sz="1"/>
              <w:right w:val="single" w:color="B4B4B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Artist</w:t>
            </w:r>
          </w:p>
        </w:tc>
        <w:tc>
          <w:tcPr>
            <w:tcW w:type="dxa" w:w="2400"/>
            <w:tcBorders>
              <w:top w:val="single" w:color="B4B4B4" w:sz="1"/>
              <w:left w:val="single" w:color="B4B4B4" w:sz="1"/>
              <w:bottom w:val="single" w:color="B4B4B4" w:sz="1"/>
              <w:right w:val="single" w:color="B4B4B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Album</w:t>
            </w:r>
          </w:p>
        </w:tc>
        <w:tc>
          <w:tcPr>
            <w:tcW w:type="dxa" w:w="1200"/>
            <w:tcBorders>
              <w:top w:val="single" w:color="B4B4B4" w:sz="1"/>
              <w:left w:val="single" w:color="B4B4B4" w:sz="1"/>
              <w:bottom w:val="single" w:color="B4B4B4" w:sz="1"/>
              <w:right w:val="single" w:color="B4B4B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Release</w:t>
            </w:r>
          </w:p>
        </w:tc>
        <w:tc>
          <w:tcPr>
            <w:tcW w:type="dxa" w:w="1200"/>
            <w:tcBorders>
              <w:top w:val="single" w:color="B4B4B4" w:sz="1"/>
              <w:left w:val="single" w:color="B4B4B4" w:sz="1"/>
              <w:bottom w:val="single" w:color="B4B4B4" w:sz="1"/>
              <w:right w:val="single" w:color="B4B4B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Label</w:t>
            </w:r>
          </w:p>
        </w:tc>
        <w:tc>
          <w:tcPr>
            <w:tcW w:type="dxa" w:w="2760"/>
            <w:tcBorders>
              <w:top w:val="single" w:color="B4B4B4" w:sz="1"/>
              <w:left w:val="single" w:color="B4B4B4" w:sz="1"/>
              <w:bottom w:val="single" w:color="B4B4B4" w:sz="1"/>
              <w:right w:val="single" w:color="B4B4B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Context</w:t>
            </w:r>
          </w:p>
        </w:tc>
      </w:tr>
      <w:tr>
        <w:tc>
          <w:tcPr>
            <w:tcW w:type="dxa" w:w="18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FY26 H1 — New Releases &amp; Catalog Carry (Oct 2025 – Mar 2026)</w:t>
            </w:r>
          </w:p>
        </w:tc>
        <w:tc>
          <w:tcPr>
            <w:tcW w:type="dxa" w:w="24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
            </w:r>
          </w:p>
        </w:tc>
        <w:tc>
          <w:tcPr>
            <w:tcW w:type="dxa" w:w="12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
            </w:r>
          </w:p>
        </w:tc>
        <w:tc>
          <w:tcPr>
            <w:tcW w:type="dxa" w:w="12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
            </w:r>
          </w:p>
        </w:tc>
        <w:tc>
          <w:tcPr>
            <w:tcW w:type="dxa" w:w="276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Cardi B</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Am I The Drama?</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Sep 19 *</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Atlantic</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#1 BB200, 3x Plat. Catalog carry into H1.</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Ed Sheeran</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Play (Deluxe / Remixes)</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Oct-Nov 25</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Atlantic</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Deluxe Nov 28; Remixes EP Oct 17.</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Fred again..</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TBA</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Q4 2025</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Atlantic</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Mgmt-cited as FQ1 anticipated release.</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Aya Nakamura</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TBA</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Q4 2025</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Warner FR</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Mgmt-cited. Major French market tentpole.</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Robert Plant</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TBA</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Q4 2025</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Nonesuch</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Mgmt-cited. Legacy artist.</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Zach Bryan</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With Heaven on Top</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Jan 9, 26</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Warner</w:t>
            </w:r>
          </w:p>
        </w:tc>
        <w:tc>
          <w:tcPr>
            <w:tcW w:type="dxa" w:w="2760"/>
            <w:tcBorders>
              <w:top w:val="single" w:color="B4B4B4" w:sz="1"/>
              <w:left w:val="single" w:color="B4B4B4" w:sz="1"/>
              <w:bottom w:val="single" w:color="B4B4B4" w:sz="1"/>
              <w:right w:val="single" w:color="B4B4B4"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#1 BB200 on release.</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Bruno Mars</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The Romantic</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Feb 27, 26</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Atlantic</w:t>
            </w:r>
          </w:p>
        </w:tc>
        <w:tc>
          <w:tcPr>
            <w:tcW w:type="dxa" w:w="2760"/>
            <w:tcBorders>
              <w:top w:val="single" w:color="B4B4B4" w:sz="1"/>
              <w:left w:val="single" w:color="B4B4B4" w:sz="1"/>
              <w:bottom w:val="single" w:color="B4B4B4" w:sz="1"/>
              <w:right w:val="single" w:color="B4B4B4"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'I Just Might' #1 Hot 100 pre-album.</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Charli XCX</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Wuthering Heights</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Feb 13, 26</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Atlantic</w:t>
            </w:r>
          </w:p>
        </w:tc>
        <w:tc>
          <w:tcPr>
            <w:tcW w:type="dxa" w:w="2760"/>
            <w:tcBorders>
              <w:top w:val="single" w:color="B4B4B4" w:sz="1"/>
              <w:left w:val="single" w:color="B4B4B4" w:sz="1"/>
              <w:bottom w:val="single" w:color="B4B4B4" w:sz="1"/>
              <w:right w:val="single" w:color="B4B4B4"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Soundtrack album. Post-Brat momentum.</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Jack Harlow</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Monica</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Mar 13, 26</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Atlantic</w:t>
            </w:r>
          </w:p>
        </w:tc>
        <w:tc>
          <w:tcPr>
            <w:tcW w:type="dxa" w:w="2760"/>
            <w:tcBorders>
              <w:top w:val="single" w:color="B4B4B4" w:sz="1"/>
              <w:left w:val="single" w:color="B4B4B4" w:sz="1"/>
              <w:bottom w:val="single" w:color="B4B4B4" w:sz="1"/>
              <w:right w:val="single" w:color="B4B4B4"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Major hip-hop tentpole.</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Don Toliver</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Octane</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Jan 30, 26</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Atlantic</w:t>
            </w:r>
          </w:p>
        </w:tc>
        <w:tc>
          <w:tcPr>
            <w:tcW w:type="dxa" w:w="2760"/>
            <w:tcBorders>
              <w:top w:val="single" w:color="B4B4B4" w:sz="1"/>
              <w:left w:val="single" w:color="B4B4B4" w:sz="1"/>
              <w:bottom w:val="single" w:color="B4B4B4" w:sz="1"/>
              <w:right w:val="single" w:color="B4B4B4"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Cactus Jack / Atlantic. Trap tentpole.</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Gnarls Barkley</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Atlanta</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Mar 6, 26</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Atlantic</w:t>
            </w:r>
          </w:p>
        </w:tc>
        <w:tc>
          <w:tcPr>
            <w:tcW w:type="dxa" w:w="2760"/>
            <w:tcBorders>
              <w:top w:val="single" w:color="B4B4B4" w:sz="1"/>
              <w:left w:val="single" w:color="B4B4B4" w:sz="1"/>
              <w:bottom w:val="single" w:color="B4B4B4" w:sz="1"/>
              <w:right w:val="single" w:color="B4B4B4"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First album in ~18 years. Comeback.</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Alex Warren</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FEVER DREAM</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2026</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Atlantic</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Follow-up to #1 Hot 100 single.</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Hilary Duff</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Luck... or Something</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Feb 20, 26</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Atlantic</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Mid-tier with crossover potential.</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MiSaMo</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Play</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Feb 4, 26</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Warner JP</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TWICE sub-unit. Japan/K-pop market.</w:t>
            </w:r>
          </w:p>
        </w:tc>
      </w:tr>
      <w:tr>
        <w:tc>
          <w:tcPr>
            <w:tcW w:type="dxa" w:w="18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FY25 H1 — Comparison (Oct 2024 – Mar 2025)</w:t>
            </w:r>
          </w:p>
        </w:tc>
        <w:tc>
          <w:tcPr>
            <w:tcW w:type="dxa" w:w="24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
            </w:r>
          </w:p>
        </w:tc>
        <w:tc>
          <w:tcPr>
            <w:tcW w:type="dxa" w:w="12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
            </w:r>
          </w:p>
        </w:tc>
        <w:tc>
          <w:tcPr>
            <w:tcW w:type="dxa" w:w="120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
            </w:r>
          </w:p>
        </w:tc>
        <w:tc>
          <w:tcPr>
            <w:tcW w:type="dxa" w:w="2760"/>
            <w:tcBorders>
              <w:top w:val="single" w:color="B4B4B4" w:sz="1"/>
              <w:left w:val="single" w:color="B4B4B4" w:sz="1"/>
              <w:bottom w:val="single" w:color="B4B4B4" w:sz="1"/>
              <w:right w:val="single" w:color="B4B4B4" w:sz="1"/>
            </w:tcBorders>
            <w:shd w:fill="D6DCE4"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Linkin Park</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From Zero</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Nov 15, 24</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Warner Rec</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#1 BB200. Biggest WMG rock release in years.</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Charli XCX</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Brat Remix Edition</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Oct 11, 24</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Atlantic</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Deluxe/remix extending Brat cycle.</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Benson Boone</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Fireworks &amp; R. (Dlx)</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Oct 2024</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Warner Rec</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Deluxe edition.</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Mac Miller</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Balloonerism</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Jan 17, 25</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Warner Rec</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Posthumous release. Top physical seller.</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FKA Twigs</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Eusexua</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Jan 24, 25</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Atlantic</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Critical darling. Moderate commercial.</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Teddy Swims</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ITEB Therapy Pt 2</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Jan 24, 25</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Warner Rec</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Franchise extension.</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Jisoo</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Amortage</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Feb 14, 25</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Warner</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BLACKPINK solo. K-pop tentpole.</w:t>
            </w:r>
          </w:p>
        </w:tc>
      </w:tr>
      <w:tr>
        <w:tc>
          <w:tcPr>
            <w:tcW w:type="dxa" w:w="18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Mumford &amp; Sons</w:t>
            </w:r>
          </w:p>
        </w:tc>
        <w:tc>
          <w:tcPr>
            <w:tcW w:type="dxa" w:w="24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8"/>
                <w:szCs w:val="18"/>
              </w:rPr>
              <w:t xml:space="preserve">Rushmere</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Mar 28, 25</w:t>
            </w:r>
          </w:p>
        </w:tc>
        <w:tc>
          <w:tcPr>
            <w:tcW w:type="dxa" w:w="120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Island</w:t>
            </w:r>
          </w:p>
        </w:tc>
        <w:tc>
          <w:tcPr>
            <w:tcW w:type="dxa" w:w="2760"/>
            <w:tcBorders>
              <w:top w:val="single" w:color="B4B4B4" w:sz="1"/>
              <w:left w:val="single" w:color="B4B4B4" w:sz="1"/>
              <w:bottom w:val="single" w:color="B4B4B4" w:sz="1"/>
              <w:right w:val="single" w:color="B4B4B4"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Major act return.</w:t>
            </w:r>
          </w:p>
        </w:tc>
      </w:tr>
    </w:tbl>
    <w:p>
      <w:pPr>
        <w:spacing w:after="200" w:before="60"/>
      </w:pPr>
      <w:r>
        <w:rPr>
          <w:rFonts w:ascii="Arial" w:cs="Arial" w:eastAsia="Arial" w:hAnsi="Arial"/>
          <w:i/>
          <w:iCs/>
          <w:color w:val="808080"/>
          <w:sz w:val="16"/>
          <w:szCs w:val="16"/>
        </w:rPr>
        <w:t xml:space="preserve">Source: WMG earnings calls, Wikipedia List of 2025/2026 Albums (label-verified), Billboard, Apple Music. * Cardi B released Sep 19, 2025 (FY25 Q4); catalog carried into FY26 H1. Green = FY26 Q2 new releases.</w:t>
      </w:r>
    </w:p>
    <w:p>
      <w:pPr>
        <w:spacing w:after="200" w:before="200" w:line="276"/>
      </w:pPr>
      <w:r>
        <w:rPr>
          <w:rFonts w:ascii="Arial" w:cs="Arial" w:eastAsia="Arial" w:hAnsi="Arial"/>
          <w:b/>
          <w:bCs/>
          <w:color w:val="1F3864"/>
          <w:sz w:val="22"/>
          <w:szCs w:val="22"/>
        </w:rPr>
        <w:t xml:space="preserve">We see FY26 H1 release slate strength as an underappreciated driver of near-term streaming outperformance and a key reason our paid streaming estimates sit above consensus through fiscal Q2.</w:t>
      </w:r>
    </w:p>
    <w:sectPr>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c280d3451a9afe291b16edbb4c37f9d3191ac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2026-04-06T15:32:17.061Z</dcterms:created>
  <dcterms:modified xsi:type="dcterms:W3CDTF">2026-04-06T15:32:17.062Z</dcterms:modified>
</cp:coreProperties>
</file>

<file path=docProps/custom.xml><?xml version="1.0" encoding="utf-8"?>
<Properties xmlns="http://schemas.openxmlformats.org/officeDocument/2006/custom-properties" xmlns:vt="http://schemas.openxmlformats.org/officeDocument/2006/docPropsVTypes"/>
</file>