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math.round sunrise and sunset to get a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These number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setVisulize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r w:rsidR="00FE7C79" w:rsidRPr="00FE7C79">
        <w:rPr>
          <w:rFonts w:ascii="Times New Roman" w:hAnsi="Times New Roman"/>
          <w:sz w:val="24"/>
        </w:rPr>
        <w:t>AlgorithmSwitchShader</w:t>
      </w:r>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setPowerDensity() to give the power. And for others like spectral light and spot light we use setPower().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powerDensity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represent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r w:rsidR="0045044C" w:rsidRPr="0045044C">
        <w:rPr>
          <w:rFonts w:ascii="Times New Roman" w:hAnsi="Times New Roman"/>
          <w:sz w:val="24"/>
        </w:rPr>
        <w:t>BlackbodySpectralCurve</w:t>
      </w:r>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r w:rsidR="00027EBA">
        <w:rPr>
          <w:rFonts w:ascii="Times New Roman" w:hAnsi="Times New Roman"/>
          <w:sz w:val="24"/>
        </w:rPr>
        <w:t>are the default spectral curves</w:t>
      </w:r>
      <w:r>
        <w:rPr>
          <w:rFonts w:ascii="Times New Roman" w:hAnsi="Times New Roman"/>
          <w:sz w:val="24"/>
        </w:rPr>
        <w:t xml:space="preserve"> for those light sources.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setMeasureMode (MeasureMode.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red:far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application. </w:t>
      </w:r>
      <w:r w:rsidR="00991C72">
        <w:rPr>
          <w:rFonts w:ascii="Times New Roman" w:hAnsi="Times New Roman"/>
          <w:sz w:val="24"/>
        </w:rPr>
        <w:t xml:space="preserve"> It seems not. See my code of the directlight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r w:rsidRPr="006C7D6C">
        <w:rPr>
          <w:rFonts w:ascii="Times New Roman" w:hAnsi="Times New Roman"/>
          <w:sz w:val="24"/>
        </w:rPr>
        <w:t>setSpecular</w:t>
      </w:r>
      <w:r>
        <w:rPr>
          <w:rFonts w:ascii="Times New Roman" w:hAnsi="Times New Roman"/>
          <w:sz w:val="24"/>
        </w:rPr>
        <w:t>, and setDiffuse?</w:t>
      </w:r>
    </w:p>
    <w:p w:rsidR="00DF1C6D" w:rsidRPr="006C7D6C" w:rsidRDefault="00DF1C6D" w:rsidP="00DF1C6D">
      <w:pPr>
        <w:pStyle w:val="ListParagraph"/>
        <w:numPr>
          <w:ilvl w:val="0"/>
          <w:numId w:val="42"/>
        </w:numPr>
        <w:spacing w:line="480" w:lineRule="auto"/>
      </w:pPr>
      <w:r>
        <w:rPr>
          <w:rFonts w:ascii="Times New Roman" w:hAnsi="Times New Roman"/>
          <w:sz w:val="24"/>
        </w:rPr>
        <w:t>What does grayStone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r w:rsidRPr="00896E57">
        <w:rPr>
          <w:rFonts w:ascii="Times New Roman" w:hAnsi="Times New Roman"/>
          <w:sz w:val="24"/>
        </w:rPr>
        <w:t>FluxLightModel</w:t>
      </w:r>
      <w:r>
        <w:rPr>
          <w:rFonts w:ascii="Times New Roman" w:hAnsi="Times New Roman"/>
          <w:sz w:val="24"/>
        </w:rPr>
        <w:t xml:space="preserve"> lm = new FluxLightModel(RAYS</w:t>
      </w:r>
      <w:r w:rsidRPr="00896E57">
        <w:rPr>
          <w:rFonts w:ascii="Times New Roman" w:hAnsi="Times New Roman"/>
          <w:sz w:val="24"/>
        </w:rPr>
        <w:t>*1000000, 10);</w:t>
      </w:r>
    </w:p>
    <w:p w:rsidR="00DF1C6D" w:rsidRPr="00896E57" w:rsidRDefault="00DF1C6D" w:rsidP="00DF1C6D">
      <w:pPr>
        <w:spacing w:line="480" w:lineRule="auto"/>
        <w:ind w:left="720" w:firstLine="360"/>
      </w:pPr>
      <w:r w:rsidRPr="00896E57">
        <w:t>lm.setSeed(SEEDS[j]); lm.compute();</w:t>
      </w:r>
    </w:p>
    <w:p w:rsidR="00B44072" w:rsidRDefault="0065018B" w:rsidP="00B44072">
      <w:pPr>
        <w:pStyle w:val="ListParagraph"/>
        <w:numPr>
          <w:ilvl w:val="0"/>
          <w:numId w:val="42"/>
        </w:numPr>
        <w:spacing w:line="480" w:lineRule="auto"/>
        <w:rPr>
          <w:rFonts w:ascii="Times New Roman" w:hAnsi="Times New Roman"/>
          <w:sz w:val="24"/>
        </w:rPr>
      </w:pPr>
      <w:hyperlink r:id="rId6" w:anchor="getSensedIrradiance%28%29" w:history="1">
        <w:r w:rsidR="00DF1C6D" w:rsidRPr="00DF1C6D">
          <w:rPr>
            <w:rFonts w:ascii="Times New Roman" w:hAnsi="Times New Roman"/>
            <w:sz w:val="24"/>
          </w:rPr>
          <w:t>getSensedIrradiance</w:t>
        </w:r>
      </w:hyperlink>
      <w:r w:rsidR="00DF1C6D" w:rsidRPr="00DF1C6D">
        <w:rPr>
          <w:rFonts w:ascii="Times New Roman" w:hAnsi="Times New Roman"/>
          <w:sz w:val="24"/>
        </w:rPr>
        <w:t xml:space="preserve">() is for sensornode, while </w:t>
      </w:r>
      <w:hyperlink r:id="rId7" w:anchor="getAbsorbedPowerMeasurement%28de.grogra.graph.impl.Node%29" w:history="1">
        <w:r w:rsidR="00DF1C6D" w:rsidRPr="00DF1C6D">
          <w:rPr>
            <w:rFonts w:ascii="Times New Roman" w:hAnsi="Times New Roman"/>
            <w:sz w:val="24"/>
          </w:rPr>
          <w:t>getAbsorbedPowerMeasurement</w:t>
        </w:r>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t>getAbsorbedPowerMeasurement(Node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t>getAbsorbedPower(Node node)</w:t>
      </w:r>
    </w:p>
    <w:p w:rsidR="007D09BE" w:rsidRDefault="00E0648B" w:rsidP="005453FF">
      <w:pPr>
        <w:spacing w:line="480" w:lineRule="auto"/>
      </w:pPr>
      <w:r>
        <w:lastRenderedPageBreak/>
        <w:t xml:space="preserve">2015-6-2 never name the variable as the same within the GroIMP, like name relative humidity as RH can cause lots of problems since RH is used in the GroIMP for rotating. </w:t>
      </w:r>
    </w:p>
    <w:p w:rsidR="00EB1866" w:rsidRDefault="00733ECE" w:rsidP="00733ECE">
      <w:pPr>
        <w:spacing w:line="480" w:lineRule="auto"/>
      </w:pPr>
      <w:r>
        <w:t>2015-6-</w:t>
      </w:r>
      <w:r w:rsidR="006100DC">
        <w:t>2 to 4</w:t>
      </w:r>
      <w:r>
        <w:t xml:space="preserve"> separate the global parameters and plant parameters, change the chart and table outputs.</w:t>
      </w:r>
    </w:p>
    <w:p w:rsidR="00EB1866" w:rsidRDefault="00EB1866" w:rsidP="00733ECE">
      <w:pPr>
        <w:spacing w:line="480" w:lineRule="auto"/>
      </w:pPr>
      <w:r>
        <w:t>2015-6-5 change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2015-6-23 improved the visulization of berry bunch</w:t>
      </w:r>
    </w:p>
    <w:p w:rsidR="00B93FE3" w:rsidRDefault="00B93FE3" w:rsidP="00B93FE3">
      <w:pPr>
        <w:spacing w:line="480" w:lineRule="auto"/>
      </w:pPr>
      <w:r>
        <w:t>2015-6-25 switch the model into a static model and read model paramters from different files</w:t>
      </w:r>
    </w:p>
    <w:p w:rsidR="00B93FE3" w:rsidRDefault="00B93FE3" w:rsidP="00B93FE3">
      <w:pPr>
        <w:spacing w:line="480" w:lineRule="auto"/>
      </w:pPr>
      <w:r>
        <w:t>2015-6-29 add berry growth module</w:t>
      </w:r>
    </w:p>
    <w:p w:rsidR="00B93FE3" w:rsidRDefault="00B93FE3" w:rsidP="00B93FE3">
      <w:pPr>
        <w:spacing w:line="480" w:lineRule="auto"/>
      </w:pPr>
      <w:r>
        <w:t>2015-7-5 add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henke in looking for help. He provided the solution based on the solver’s error handling method. </w:t>
      </w:r>
    </w:p>
    <w:p w:rsidR="002670C1" w:rsidRDefault="002670C1" w:rsidP="002670C1">
      <w:pPr>
        <w:spacing w:line="480" w:lineRule="auto"/>
      </w:pPr>
      <w:r>
        <w:t>2015-12-2 start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2015-12-3 for improving the light interception, I make the phyllotax into 137.5</w:t>
      </w:r>
    </w:p>
    <w:p w:rsidR="0005292C" w:rsidRDefault="0005292C" w:rsidP="0005292C">
      <w:pPr>
        <w:spacing w:line="480" w:lineRule="auto"/>
      </w:pPr>
      <w:r>
        <w:t>2015-12-4 adding the Gxc buffering part for the leaf transpiration and leaf water potential</w:t>
      </w:r>
    </w:p>
    <w:p w:rsidR="0065018B" w:rsidRDefault="0065018B" w:rsidP="0005292C">
      <w:pPr>
        <w:spacing w:line="480" w:lineRule="auto"/>
      </w:pPr>
      <w:r>
        <w:t>2015-12-10 do not delete chart or tables, it makes unable to open the model</w:t>
      </w:r>
      <w:bookmarkStart w:id="0" w:name="_GoBack"/>
      <w:bookmarkEnd w:id="0"/>
    </w:p>
    <w:p w:rsidR="002670C1" w:rsidRDefault="002670C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19"/>
  </w:num>
  <w:num w:numId="4">
    <w:abstractNumId w:val="30"/>
  </w:num>
  <w:num w:numId="5">
    <w:abstractNumId w:val="11"/>
  </w:num>
  <w:num w:numId="6">
    <w:abstractNumId w:val="4"/>
  </w:num>
  <w:num w:numId="7">
    <w:abstractNumId w:val="13"/>
  </w:num>
  <w:num w:numId="8">
    <w:abstractNumId w:val="5"/>
  </w:num>
  <w:num w:numId="9">
    <w:abstractNumId w:val="41"/>
  </w:num>
  <w:num w:numId="10">
    <w:abstractNumId w:val="37"/>
  </w:num>
  <w:num w:numId="11">
    <w:abstractNumId w:val="28"/>
  </w:num>
  <w:num w:numId="12">
    <w:abstractNumId w:val="18"/>
  </w:num>
  <w:num w:numId="13">
    <w:abstractNumId w:val="3"/>
  </w:num>
  <w:num w:numId="14">
    <w:abstractNumId w:val="22"/>
  </w:num>
  <w:num w:numId="15">
    <w:abstractNumId w:val="0"/>
  </w:num>
  <w:num w:numId="16">
    <w:abstractNumId w:val="24"/>
  </w:num>
  <w:num w:numId="17">
    <w:abstractNumId w:val="31"/>
  </w:num>
  <w:num w:numId="18">
    <w:abstractNumId w:val="9"/>
  </w:num>
  <w:num w:numId="19">
    <w:abstractNumId w:val="15"/>
  </w:num>
  <w:num w:numId="20">
    <w:abstractNumId w:val="7"/>
  </w:num>
  <w:num w:numId="21">
    <w:abstractNumId w:val="16"/>
  </w:num>
  <w:num w:numId="22">
    <w:abstractNumId w:val="8"/>
  </w:num>
  <w:num w:numId="23">
    <w:abstractNumId w:val="33"/>
  </w:num>
  <w:num w:numId="24">
    <w:abstractNumId w:val="6"/>
  </w:num>
  <w:num w:numId="25">
    <w:abstractNumId w:val="40"/>
  </w:num>
  <w:num w:numId="26">
    <w:abstractNumId w:val="29"/>
  </w:num>
  <w:num w:numId="27">
    <w:abstractNumId w:val="27"/>
  </w:num>
  <w:num w:numId="28">
    <w:abstractNumId w:val="1"/>
  </w:num>
  <w:num w:numId="29">
    <w:abstractNumId w:val="39"/>
  </w:num>
  <w:num w:numId="30">
    <w:abstractNumId w:val="32"/>
  </w:num>
  <w:num w:numId="31">
    <w:abstractNumId w:val="21"/>
  </w:num>
  <w:num w:numId="32">
    <w:abstractNumId w:val="36"/>
  </w:num>
  <w:num w:numId="33">
    <w:abstractNumId w:val="25"/>
  </w:num>
  <w:num w:numId="34">
    <w:abstractNumId w:val="20"/>
  </w:num>
  <w:num w:numId="35">
    <w:abstractNumId w:val="38"/>
  </w:num>
  <w:num w:numId="36">
    <w:abstractNumId w:val="26"/>
  </w:num>
  <w:num w:numId="37">
    <w:abstractNumId w:val="2"/>
  </w:num>
  <w:num w:numId="38">
    <w:abstractNumId w:val="35"/>
  </w:num>
  <w:num w:numId="39">
    <w:abstractNumId w:val="17"/>
  </w:num>
  <w:num w:numId="40">
    <w:abstractNumId w:val="10"/>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B29AE"/>
    <w:rsid w:val="002B4E04"/>
    <w:rsid w:val="002D4D85"/>
    <w:rsid w:val="002F02DB"/>
    <w:rsid w:val="002F5BDF"/>
    <w:rsid w:val="0030043B"/>
    <w:rsid w:val="0031307A"/>
    <w:rsid w:val="003145FD"/>
    <w:rsid w:val="003159C1"/>
    <w:rsid w:val="003234C8"/>
    <w:rsid w:val="0032712C"/>
    <w:rsid w:val="0033109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73CE3"/>
    <w:rsid w:val="00577C58"/>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30D5A"/>
    <w:rsid w:val="00733ECE"/>
    <w:rsid w:val="007534A5"/>
    <w:rsid w:val="0078231D"/>
    <w:rsid w:val="007853E2"/>
    <w:rsid w:val="00795574"/>
    <w:rsid w:val="007A173E"/>
    <w:rsid w:val="007A6B25"/>
    <w:rsid w:val="007B1028"/>
    <w:rsid w:val="007C2543"/>
    <w:rsid w:val="007D09BE"/>
    <w:rsid w:val="007D763C"/>
    <w:rsid w:val="007F6131"/>
    <w:rsid w:val="00811315"/>
    <w:rsid w:val="00811B32"/>
    <w:rsid w:val="00825FDE"/>
    <w:rsid w:val="00830A66"/>
    <w:rsid w:val="00833BB1"/>
    <w:rsid w:val="00847EC5"/>
    <w:rsid w:val="008560F6"/>
    <w:rsid w:val="008564C8"/>
    <w:rsid w:val="008B523E"/>
    <w:rsid w:val="008C4962"/>
    <w:rsid w:val="008D0309"/>
    <w:rsid w:val="008D2C41"/>
    <w:rsid w:val="008E691F"/>
    <w:rsid w:val="008E7448"/>
    <w:rsid w:val="0090051B"/>
    <w:rsid w:val="00903060"/>
    <w:rsid w:val="00922354"/>
    <w:rsid w:val="00944CDB"/>
    <w:rsid w:val="00954563"/>
    <w:rsid w:val="009567D9"/>
    <w:rsid w:val="00974ABF"/>
    <w:rsid w:val="00983106"/>
    <w:rsid w:val="00987CC0"/>
    <w:rsid w:val="00991A08"/>
    <w:rsid w:val="00991C72"/>
    <w:rsid w:val="009B30BD"/>
    <w:rsid w:val="009D5496"/>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572B"/>
    <w:rsid w:val="00D41DA0"/>
    <w:rsid w:val="00D537AE"/>
    <w:rsid w:val="00D55E3B"/>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119</cp:revision>
  <dcterms:created xsi:type="dcterms:W3CDTF">2013-05-21T08:49:00Z</dcterms:created>
  <dcterms:modified xsi:type="dcterms:W3CDTF">2015-12-10T16:00:00Z</dcterms:modified>
</cp:coreProperties>
</file>