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Acceptable-Use Policy: Keystone Advisory (fictional example)</w:t>
      </w:r>
    </w:p>
    <w:p>
      <w:pPr>
        <w:ind w:left="432"/>
      </w:pPr>
      <w:r>
        <w:rPr>
          <w:b/>
          <w:i/>
          <w:color w:val="59636E"/>
        </w:rPr>
        <w:t>This is a fictional worked example.</w:t>
      </w:r>
      <w:r>
        <w:rPr>
          <w:b w:val="0"/>
          <w:i/>
          <w:color w:val="59636E"/>
        </w:rPr>
        <w:t xml:space="preserve"> Keystone Advisory does not exist. It shows how a small consulting firm could adapt the </w:t>
      </w:r>
      <w:r>
        <w:rPr>
          <w:b w:val="0"/>
          <w:i/>
        </w:rPr>
        <w:t>generic template</w:t>
      </w:r>
      <w:r>
        <w:rPr>
          <w:b w:val="0"/>
          <w:i/>
          <w:color w:val="59636E"/>
        </w:rPr>
        <w:t>. Ask your legal counsel to review your own policy. This example is not legal advice.</w:t>
      </w:r>
    </w:p>
    <w:p>
      <w:pPr>
        <w:ind w:left="432"/>
      </w:pPr>
      <w:r>
        <w:rPr>
          <w:b w:val="0"/>
          <w:i/>
          <w:color w:val="59636E"/>
        </w:rPr>
        <w:t>Free to use and adapt.</w:t>
      </w:r>
    </w:p>
    <w:tbl>
      <w:tblPr>
        <w:tblStyle w:val="TableGrid"/>
        <w:tblW w:type="auto" w:w="0"/>
        <w:tblLook w:firstColumn="1" w:firstRow="1" w:lastColumn="0" w:lastRow="0" w:noHBand="0" w:noVBand="1" w:val="04A0"/>
      </w:tblPr>
      <w:tblGrid>
        <w:gridCol w:w="4680"/>
        <w:gridCol w:w="4680"/>
      </w:tblGrid>
      <w:tr>
        <w:tc>
          <w:tcPr>
            <w:tcW w:type="dxa" w:w="4680"/>
            <w:shd w:val="clear" w:fill="E8EEF4"/>
          </w:tcPr>
          <w:p>
            <w:r>
              <w:rPr>
                <w:b/>
                <w:i w:val="0"/>
              </w:rPr>
              <w:t>Document control</w:t>
            </w:r>
          </w:p>
        </w:tc>
        <w:tc>
          <w:tcPr>
            <w:tcW w:type="dxa" w:w="4680"/>
            <w:shd w:val="clear" w:fill="E8EEF4"/>
          </w:tcPr>
          <w:p/>
        </w:tc>
      </w:tr>
      <w:tr>
        <w:tc>
          <w:tcPr>
            <w:tcW w:type="dxa" w:w="4680"/>
          </w:tcPr>
          <w:p>
            <w:r>
              <w:rPr>
                <w:b w:val="0"/>
                <w:i w:val="0"/>
              </w:rPr>
              <w:t>Company</w:t>
            </w:r>
          </w:p>
        </w:tc>
        <w:tc>
          <w:tcPr>
            <w:tcW w:type="dxa" w:w="4680"/>
          </w:tcPr>
          <w:p>
            <w:r>
              <w:rPr>
                <w:b w:val="0"/>
                <w:i w:val="0"/>
              </w:rPr>
              <w:t>Keystone Advisory: a remote consulting firm with 12 consultants. It advises mid-size companies on operations, finance, and technology.</w:t>
            </w:r>
          </w:p>
        </w:tc>
      </w:tr>
      <w:tr>
        <w:tc>
          <w:tcPr>
            <w:tcW w:type="dxa" w:w="4680"/>
          </w:tcPr>
          <w:p>
            <w:r>
              <w:rPr>
                <w:b w:val="0"/>
                <w:i w:val="0"/>
              </w:rPr>
              <w:t>Policy owner</w:t>
            </w:r>
          </w:p>
        </w:tc>
        <w:tc>
          <w:tcPr>
            <w:tcW w:type="dxa" w:w="4680"/>
          </w:tcPr>
          <w:p>
            <w:r>
              <w:rPr>
                <w:b w:val="0"/>
                <w:i w:val="0"/>
              </w:rPr>
              <w:t>Managing Partner</w:t>
            </w:r>
          </w:p>
        </w:tc>
      </w:tr>
      <w:tr>
        <w:tc>
          <w:tcPr>
            <w:tcW w:type="dxa" w:w="4680"/>
          </w:tcPr>
          <w:p>
            <w:r>
              <w:rPr>
                <w:b w:val="0"/>
                <w:i w:val="0"/>
              </w:rPr>
              <w:t>Approved by</w:t>
            </w:r>
          </w:p>
        </w:tc>
        <w:tc>
          <w:tcPr>
            <w:tcW w:type="dxa" w:w="4680"/>
          </w:tcPr>
          <w:p>
            <w:r>
              <w:rPr>
                <w:b w:val="0"/>
                <w:i w:val="0"/>
              </w:rPr>
              <w:t>Partners</w:t>
            </w:r>
          </w:p>
        </w:tc>
      </w:tr>
      <w:tr>
        <w:tc>
          <w:tcPr>
            <w:tcW w:type="dxa" w:w="4680"/>
          </w:tcPr>
          <w:p>
            <w:r>
              <w:rPr>
                <w:b w:val="0"/>
                <w:i w:val="0"/>
              </w:rPr>
              <w:t>Effective date</w:t>
            </w:r>
          </w:p>
        </w:tc>
        <w:tc>
          <w:tcPr>
            <w:tcW w:type="dxa" w:w="4680"/>
          </w:tcPr>
          <w:p>
            <w:r>
              <w:rPr>
                <w:b w:val="0"/>
                <w:i w:val="0"/>
              </w:rPr>
              <w:t>November 1, 2026</w:t>
            </w:r>
          </w:p>
        </w:tc>
      </w:tr>
      <w:tr>
        <w:tc>
          <w:tcPr>
            <w:tcW w:type="dxa" w:w="4680"/>
          </w:tcPr>
          <w:p>
            <w:r>
              <w:rPr>
                <w:b w:val="0"/>
                <w:i w:val="0"/>
              </w:rPr>
              <w:t>Version</w:t>
            </w:r>
          </w:p>
        </w:tc>
        <w:tc>
          <w:tcPr>
            <w:tcW w:type="dxa" w:w="4680"/>
          </w:tcPr>
          <w:p>
            <w:r>
              <w:rPr>
                <w:b w:val="0"/>
                <w:i w:val="0"/>
              </w:rPr>
              <w:t>1.0</w:t>
            </w:r>
          </w:p>
        </w:tc>
      </w:tr>
      <w:tr>
        <w:tc>
          <w:tcPr>
            <w:tcW w:type="dxa" w:w="4680"/>
          </w:tcPr>
          <w:p>
            <w:r>
              <w:rPr>
                <w:b w:val="0"/>
                <w:i w:val="0"/>
              </w:rPr>
              <w:t>Next review</w:t>
            </w:r>
          </w:p>
        </w:tc>
        <w:tc>
          <w:tcPr>
            <w:tcW w:type="dxa" w:w="4680"/>
          </w:tcPr>
          <w:p>
            <w:r>
              <w:rPr>
                <w:b w:val="0"/>
                <w:i w:val="0"/>
              </w:rPr>
              <w:t>October 31, 2027</w:t>
            </w:r>
          </w:p>
        </w:tc>
      </w:tr>
    </w:tbl>
    <w:p/>
    <w:p>
      <w:pPr>
        <w:pBdr>
          <w:bottom w:val="single" w:sz="6" w:space="1" w:color="BFC5CC"/>
        </w:pBdr>
      </w:pPr>
    </w:p>
    <w:p>
      <w:pPr>
        <w:pStyle w:val="Heading2"/>
      </w:pPr>
      <w:r>
        <w:t>1. Purpose</w:t>
      </w:r>
    </w:p>
    <w:p>
      <w:r>
        <w:rPr>
          <w:b w:val="0"/>
          <w:i w:val="0"/>
        </w:rPr>
        <w:t>Keystone Advisory uses artificial intelligence (AI) tools to research, analyze, and write faster. Our clients trust us with confidential information. This policy makes sure that our use of AI keeps that trust and that our work stays accurate.</w:t>
      </w:r>
    </w:p>
    <w:p>
      <w:pPr>
        <w:pStyle w:val="Heading2"/>
      </w:pPr>
      <w:r>
        <w:t>2. Scope</w:t>
      </w:r>
    </w:p>
    <w:p>
      <w:r>
        <w:rPr>
          <w:b w:val="0"/>
          <w:i w:val="0"/>
        </w:rPr>
        <w:t>This policy applies to all partners, consultants, contractors, and subcontractors who work on Keystone engagements. It applies to every AI tool that they use for Keystone work, on any device. This includes chat assistants, research tools, meeting notetakers, browser extensions, AI agents, and AI features inside our office software.</w:t>
      </w:r>
    </w:p>
    <w:p>
      <w:r>
        <w:rPr>
          <w:b/>
          <w:i w:val="0"/>
        </w:rPr>
        <w:t>Definitions</w:t>
      </w:r>
    </w:p>
    <w:p>
      <w:pPr>
        <w:pStyle w:val="ListBullet"/>
      </w:pPr>
      <w:r>
        <w:rPr>
          <w:b/>
          <w:i w:val="0"/>
        </w:rPr>
        <w:t>Client data:</w:t>
      </w:r>
      <w:r>
        <w:rPr>
          <w:b w:val="0"/>
          <w:i w:val="0"/>
        </w:rPr>
        <w:t xml:space="preserve"> all information that a client gives us or that we create from it. This includes documents, financial data, interview notes, recordings, and the fact that a client works with us, if the engagement is confidential.</w:t>
      </w:r>
    </w:p>
    <w:p>
      <w:pPr>
        <w:pStyle w:val="ListBullet"/>
      </w:pPr>
      <w:r>
        <w:rPr>
          <w:b/>
          <w:i w:val="0"/>
        </w:rPr>
        <w:t>Client AI choice:</w:t>
      </w:r>
      <w:r>
        <w:rPr>
          <w:b w:val="0"/>
          <w:i w:val="0"/>
        </w:rPr>
        <w:t xml:space="preserve"> the client's written decision about AI use on its engagement: agree, agree with limits, or do not agree. We record it with the client AI-use notice.</w:t>
      </w:r>
    </w:p>
    <w:p>
      <w:pPr>
        <w:pStyle w:val="ListBullet"/>
      </w:pPr>
      <w:r>
        <w:rPr>
          <w:b/>
          <w:i w:val="0"/>
        </w:rPr>
        <w:t>Approved tool:</w:t>
      </w:r>
      <w:r>
        <w:rPr>
          <w:b w:val="0"/>
          <w:i w:val="0"/>
        </w:rPr>
        <w:t xml:space="preserve"> an AI tool with the status "Approved" or "Approved with conditions" in the Keystone AI Tool Register.</w:t>
      </w:r>
    </w:p>
    <w:p>
      <w:pPr>
        <w:pStyle w:val="Heading2"/>
      </w:pPr>
      <w:r>
        <w:t>3. Roles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Role</w:t>
            </w:r>
          </w:p>
        </w:tc>
        <w:tc>
          <w:tcPr>
            <w:tcW w:type="dxa" w:w="3120"/>
            <w:shd w:val="clear" w:fill="E8EEF4"/>
          </w:tcPr>
          <w:p>
            <w:r>
              <w:rPr>
                <w:b/>
                <w:i w:val="0"/>
              </w:rPr>
              <w:t>Who</w:t>
            </w:r>
          </w:p>
        </w:tc>
        <w:tc>
          <w:tcPr>
            <w:tcW w:type="dxa" w:w="3120"/>
            <w:shd w:val="clear" w:fill="E8EEF4"/>
          </w:tcPr>
          <w:p>
            <w:r>
              <w:rPr>
                <w:b/>
                <w:i w:val="0"/>
              </w:rPr>
              <w:t>Responsibilities</w:t>
            </w:r>
          </w:p>
        </w:tc>
      </w:tr>
      <w:tr>
        <w:tc>
          <w:tcPr>
            <w:tcW w:type="dxa" w:w="3120"/>
          </w:tcPr>
          <w:p>
            <w:r>
              <w:rPr>
                <w:b w:val="0"/>
                <w:i w:val="0"/>
              </w:rPr>
              <w:t>Policy owner</w:t>
            </w:r>
          </w:p>
        </w:tc>
        <w:tc>
          <w:tcPr>
            <w:tcW w:type="dxa" w:w="3120"/>
          </w:tcPr>
          <w:p>
            <w:r>
              <w:rPr>
                <w:b w:val="0"/>
                <w:i w:val="0"/>
              </w:rPr>
              <w:t>Managing Partner</w:t>
            </w:r>
          </w:p>
        </w:tc>
        <w:tc>
          <w:tcPr>
            <w:tcW w:type="dxa" w:w="3120"/>
          </w:tcPr>
          <w:p>
            <w:r>
              <w:rPr>
                <w:b w:val="0"/>
                <w:i w:val="0"/>
              </w:rPr>
              <w:t>Keeps this policy current, approves tools and exceptions</w:t>
            </w:r>
          </w:p>
        </w:tc>
      </w:tr>
      <w:tr>
        <w:tc>
          <w:tcPr>
            <w:tcW w:type="dxa" w:w="3120"/>
          </w:tcPr>
          <w:p>
            <w:r>
              <w:rPr>
                <w:b w:val="0"/>
                <w:i w:val="0"/>
              </w:rPr>
              <w:t>Operations Manager</w:t>
            </w:r>
          </w:p>
        </w:tc>
        <w:tc>
          <w:tcPr>
            <w:tcW w:type="dxa" w:w="3120"/>
          </w:tcPr>
          <w:p>
            <w:r>
              <w:rPr>
                <w:b w:val="0"/>
                <w:i w:val="0"/>
              </w:rPr>
              <w:t>Operations Manager</w:t>
            </w:r>
          </w:p>
        </w:tc>
        <w:tc>
          <w:tcPr>
            <w:tcW w:type="dxa" w:w="3120"/>
          </w:tcPr>
          <w:p>
            <w:r>
              <w:rPr>
                <w:b w:val="0"/>
                <w:i w:val="0"/>
              </w:rPr>
              <w:t>Sets up AI tools and accounts, keeps the AI Tool Register, removes access when people leave</w:t>
            </w:r>
          </w:p>
        </w:tc>
      </w:tr>
      <w:tr>
        <w:tc>
          <w:tcPr>
            <w:tcW w:type="dxa" w:w="3120"/>
          </w:tcPr>
          <w:p>
            <w:r>
              <w:rPr>
                <w:b w:val="0"/>
                <w:i w:val="0"/>
              </w:rPr>
              <w:t>Engagement lead</w:t>
            </w:r>
          </w:p>
        </w:tc>
        <w:tc>
          <w:tcPr>
            <w:tcW w:type="dxa" w:w="3120"/>
          </w:tcPr>
          <w:p>
            <w:r>
              <w:rPr>
                <w:b w:val="0"/>
                <w:i w:val="0"/>
              </w:rPr>
              <w:t>The partner who leads each engagement</w:t>
            </w:r>
          </w:p>
        </w:tc>
        <w:tc>
          <w:tcPr>
            <w:tcW w:type="dxa" w:w="3120"/>
          </w:tcPr>
          <w:p>
            <w:r>
              <w:rPr>
                <w:b w:val="0"/>
                <w:i w:val="0"/>
              </w:rPr>
              <w:t>Gets the client AI choice before work starts. Makes sure that the team follows it.</w:t>
            </w:r>
          </w:p>
        </w:tc>
      </w:tr>
      <w:tr>
        <w:tc>
          <w:tcPr>
            <w:tcW w:type="dxa" w:w="3120"/>
          </w:tcPr>
          <w:p>
            <w:r>
              <w:rPr>
                <w:b w:val="0"/>
                <w:i w:val="0"/>
              </w:rPr>
              <w:t>All consultants</w:t>
            </w:r>
          </w:p>
        </w:tc>
        <w:tc>
          <w:tcPr>
            <w:tcW w:type="dxa" w:w="3120"/>
          </w:tcPr>
          <w:p>
            <w:r>
              <w:rPr>
                <w:b w:val="0"/>
                <w:i w:val="0"/>
              </w:rPr>
              <w:t>Everyone in scope</w:t>
            </w:r>
          </w:p>
        </w:tc>
        <w:tc>
          <w:tcPr>
            <w:tcW w:type="dxa" w:w="3120"/>
          </w:tcPr>
          <w:p>
            <w:r>
              <w:rPr>
                <w:b w:val="0"/>
                <w:i w:val="0"/>
              </w:rPr>
              <w:t>Follow this policy and the client AI choice. Report problems.</w:t>
            </w:r>
          </w:p>
        </w:tc>
      </w:tr>
    </w:tbl>
    <w:p/>
    <w:p>
      <w:pPr>
        <w:pStyle w:val="Heading2"/>
      </w:pPr>
      <w:r>
        <w:t>4. Approved tools and new requests</w:t>
      </w:r>
    </w:p>
    <w:p>
      <w:pPr>
        <w:ind w:left="504" w:hanging="360"/>
      </w:pPr>
      <w:r>
        <w:t xml:space="preserve">1.  </w:t>
      </w:r>
      <w:r>
        <w:rPr>
          <w:b w:val="0"/>
          <w:i w:val="0"/>
        </w:rPr>
        <w:t>Use only approved tools, with your Keystone account. The list is in the AI Tool Register.</w:t>
      </w:r>
    </w:p>
    <w:p>
      <w:pPr>
        <w:ind w:left="504" w:hanging="360"/>
      </w:pPr>
      <w:r>
        <w:t xml:space="preserve">2.  </w:t>
      </w:r>
      <w:r>
        <w:rPr>
          <w:b w:val="0"/>
          <w:i w:val="0"/>
        </w:rPr>
        <w:t>Never use a personal account or a free AI tool for Keystone work. Free plans often let the vendor keep your data or train its AI on it.</w:t>
      </w:r>
    </w:p>
    <w:p>
      <w:pPr>
        <w:ind w:left="504" w:hanging="360"/>
      </w:pPr>
      <w:r>
        <w:t xml:space="preserve">3.  </w:t>
      </w:r>
      <w:r>
        <w:rPr>
          <w:b w:val="0"/>
          <w:i w:val="0"/>
        </w:rPr>
        <w:t>To request a new tool, email the Managing Partner. Give the tool name, the task, and the data that the tool will see. We decide within 5 business days.</w:t>
      </w:r>
    </w:p>
    <w:p>
      <w:pPr>
        <w:ind w:left="504" w:hanging="360"/>
      </w:pPr>
      <w:r>
        <w:t xml:space="preserve">4.  </w:t>
      </w:r>
      <w:r>
        <w:rPr>
          <w:b w:val="0"/>
          <w:i w:val="0"/>
        </w:rPr>
        <w:t>Before we approve a tool, we check its contract. The vendor must not train its AI on our data, and it must delete our data within a time limit that we accept.</w:t>
      </w:r>
    </w:p>
    <w:p>
      <w:pPr>
        <w:ind w:left="504" w:hanging="360"/>
      </w:pPr>
      <w:r>
        <w:t xml:space="preserve">5.  </w:t>
      </w:r>
      <w:r>
        <w:rPr>
          <w:b w:val="0"/>
          <w:i w:val="0"/>
        </w:rPr>
        <w:t>If we add a new AI tool that will process client data, we tell each affected client first.</w:t>
      </w:r>
    </w:p>
    <w:p>
      <w:pPr>
        <w:pStyle w:val="Heading2"/>
      </w:pPr>
      <w:r>
        <w:t>5. Data rules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Tier</w:t>
            </w:r>
          </w:p>
        </w:tc>
        <w:tc>
          <w:tcPr>
            <w:tcW w:type="dxa" w:w="3120"/>
            <w:shd w:val="clear" w:fill="E8EEF4"/>
          </w:tcPr>
          <w:p>
            <w:r>
              <w:rPr>
                <w:b/>
                <w:i w:val="0"/>
              </w:rPr>
              <w:t>Examples</w:t>
            </w:r>
          </w:p>
        </w:tc>
        <w:tc>
          <w:tcPr>
            <w:tcW w:type="dxa" w:w="3120"/>
            <w:shd w:val="clear" w:fill="E8EEF4"/>
          </w:tcPr>
          <w:p>
            <w:r>
              <w:rPr>
                <w:b/>
                <w:i w:val="0"/>
              </w:rPr>
              <w:t>Tools you can use</w:t>
            </w:r>
          </w:p>
        </w:tc>
      </w:tr>
      <w:tr>
        <w:tc>
          <w:tcPr>
            <w:tcW w:type="dxa" w:w="3120"/>
          </w:tcPr>
          <w:p>
            <w:r>
              <w:rPr>
                <w:b/>
                <w:i w:val="0"/>
              </w:rPr>
              <w:t>Public</w:t>
            </w:r>
          </w:p>
        </w:tc>
        <w:tc>
          <w:tcPr>
            <w:tcW w:type="dxa" w:w="3120"/>
          </w:tcPr>
          <w:p>
            <w:r>
              <w:rPr>
                <w:b w:val="0"/>
                <w:i w:val="0"/>
              </w:rPr>
              <w:t>Published reports, public company filings, news, our website</w:t>
            </w:r>
          </w:p>
        </w:tc>
        <w:tc>
          <w:tcPr>
            <w:tcW w:type="dxa" w:w="3120"/>
          </w:tcPr>
          <w:p>
            <w:r>
              <w:rPr>
                <w:b w:val="0"/>
                <w:i w:val="0"/>
              </w:rPr>
              <w:t>Any approved tool</w:t>
            </w:r>
          </w:p>
        </w:tc>
      </w:tr>
      <w:tr>
        <w:tc>
          <w:tcPr>
            <w:tcW w:type="dxa" w:w="3120"/>
          </w:tcPr>
          <w:p>
            <w:r>
              <w:rPr>
                <w:b/>
                <w:i w:val="0"/>
              </w:rPr>
              <w:t>Internal</w:t>
            </w:r>
          </w:p>
        </w:tc>
        <w:tc>
          <w:tcPr>
            <w:tcW w:type="dxa" w:w="3120"/>
          </w:tcPr>
          <w:p>
            <w:r>
              <w:rPr>
                <w:b w:val="0"/>
                <w:i w:val="0"/>
              </w:rPr>
              <w:t>Keystone's own proposals, templates, methods, and internal emails without client data</w:t>
            </w:r>
          </w:p>
        </w:tc>
        <w:tc>
          <w:tcPr>
            <w:tcW w:type="dxa" w:w="3120"/>
          </w:tcPr>
          <w:p>
            <w:r>
              <w:rPr>
                <w:b w:val="0"/>
                <w:i w:val="0"/>
              </w:rPr>
              <w:t>Approved tools with a business contract that does not let the vendor train its AI on our data</w:t>
            </w:r>
          </w:p>
        </w:tc>
      </w:tr>
      <w:tr>
        <w:tc>
          <w:tcPr>
            <w:tcW w:type="dxa" w:w="3120"/>
          </w:tcPr>
          <w:p>
            <w:r>
              <w:rPr>
                <w:b/>
                <w:i w:val="0"/>
              </w:rPr>
              <w:t>Restricted</w:t>
            </w:r>
          </w:p>
        </w:tc>
        <w:tc>
          <w:tcPr>
            <w:tcW w:type="dxa" w:w="3120"/>
          </w:tcPr>
          <w:p>
            <w:r>
              <w:rPr>
                <w:b w:val="0"/>
                <w:i w:val="0"/>
              </w:rPr>
              <w:t>All client data. Also personal data, passwords, and other secrets.</w:t>
            </w:r>
          </w:p>
        </w:tc>
        <w:tc>
          <w:tcPr>
            <w:tcW w:type="dxa" w:w="3120"/>
          </w:tcPr>
          <w:p>
            <w:r>
              <w:rPr>
                <w:b/>
                <w:i w:val="0"/>
              </w:rPr>
              <w:t>Client data:</w:t>
            </w:r>
            <w:r>
              <w:rPr>
                <w:b w:val="0"/>
                <w:i w:val="0"/>
              </w:rPr>
              <w:t xml:space="preserve"> only approved tools, and only as the client AI choice allows. </w:t>
            </w:r>
            <w:r>
              <w:rPr>
                <w:b/>
                <w:i w:val="0"/>
              </w:rPr>
              <w:t>Passwords and other secrets:</w:t>
            </w:r>
            <w:r>
              <w:rPr>
                <w:b w:val="0"/>
                <w:i w:val="0"/>
              </w:rPr>
              <w:t xml:space="preserve"> never, in any AI tool.</w:t>
            </w:r>
          </w:p>
        </w:tc>
      </w:tr>
    </w:tbl>
    <w:p/>
    <w:p>
      <w:r>
        <w:rPr>
          <w:b w:val="0"/>
          <w:i w:val="0"/>
        </w:rPr>
        <w:t>Also follow these rules:</w:t>
      </w:r>
    </w:p>
    <w:p>
      <w:pPr>
        <w:pStyle w:val="ListBullet"/>
      </w:pPr>
      <w:r>
        <w:rPr>
          <w:b w:val="0"/>
          <w:i w:val="0"/>
        </w:rPr>
        <w:t>If you do not know the tier, treat the data as Restricted.</w:t>
      </w:r>
    </w:p>
    <w:p>
      <w:pPr>
        <w:pStyle w:val="ListBullet"/>
      </w:pPr>
      <w:r>
        <w:rPr>
          <w:b w:val="0"/>
          <w:i w:val="0"/>
        </w:rPr>
        <w:t>Use one separate project or workspace for each client in each AI tool. Never mix two clients' data in one chat or project.</w:t>
      </w:r>
    </w:p>
    <w:p>
      <w:pPr>
        <w:pStyle w:val="ListBullet"/>
      </w:pPr>
      <w:r>
        <w:rPr>
          <w:b w:val="0"/>
          <w:i w:val="0"/>
        </w:rPr>
        <w:t>Remove names and other identifying details if the task does not need them.</w:t>
      </w:r>
    </w:p>
    <w:p>
      <w:pPr>
        <w:pStyle w:val="ListBullet"/>
      </w:pPr>
      <w:r>
        <w:rPr>
          <w:b w:val="0"/>
          <w:i w:val="0"/>
        </w:rPr>
        <w:t>Do not give an AI tool health information about any person, unless the client contract allows it and a separate written agreement exists.</w:t>
      </w:r>
    </w:p>
    <w:p>
      <w:pPr>
        <w:pStyle w:val="Heading2"/>
      </w:pPr>
      <w:r>
        <w:t>6. The client AI choice</w:t>
      </w:r>
    </w:p>
    <w:p>
      <w:pPr>
        <w:ind w:left="504" w:hanging="360"/>
      </w:pPr>
      <w:r>
        <w:t xml:space="preserve">1.  </w:t>
      </w:r>
      <w:r>
        <w:rPr>
          <w:b w:val="0"/>
          <w:i w:val="0"/>
        </w:rPr>
        <w:t>Before work starts, the engagement lead sends the client AI-use notice to the client.</w:t>
      </w:r>
    </w:p>
    <w:p>
      <w:pPr>
        <w:ind w:left="504" w:hanging="360"/>
      </w:pPr>
      <w:r>
        <w:t xml:space="preserve">2.  </w:t>
      </w:r>
      <w:r>
        <w:rPr>
          <w:b w:val="0"/>
          <w:i w:val="0"/>
        </w:rPr>
        <w:t>The client chooses: agree, agree with limits, or do not agree. The engagement lead stores the signed notice in the engagement folder.</w:t>
      </w:r>
    </w:p>
    <w:p>
      <w:pPr>
        <w:ind w:left="504" w:hanging="360"/>
      </w:pPr>
      <w:r>
        <w:t xml:space="preserve">3.  </w:t>
      </w:r>
      <w:r>
        <w:rPr>
          <w:b w:val="0"/>
          <w:i w:val="0"/>
        </w:rPr>
        <w:t>Follow the client's choice for the whole engagement. If the client limits AI use, write the limits at the top of the engagement plan.</w:t>
      </w:r>
    </w:p>
    <w:p>
      <w:pPr>
        <w:ind w:left="504" w:hanging="360"/>
      </w:pPr>
      <w:r>
        <w:t xml:space="preserve">4.  </w:t>
      </w:r>
      <w:r>
        <w:rPr>
          <w:b w:val="0"/>
          <w:i w:val="0"/>
        </w:rPr>
        <w:t>If the client does not agree, do the work without AI tools on its data. You can still use AI on public information.</w:t>
      </w:r>
    </w:p>
    <w:p>
      <w:pPr>
        <w:ind w:left="504" w:hanging="360"/>
      </w:pPr>
      <w:r>
        <w:t xml:space="preserve">5.  </w:t>
      </w:r>
      <w:r>
        <w:rPr>
          <w:b w:val="0"/>
          <w:i w:val="0"/>
        </w:rPr>
        <w:t>If the client changes its choice, the engagement lead updates the record and tells the team the same day.</w:t>
      </w:r>
    </w:p>
    <w:p>
      <w:pPr>
        <w:pStyle w:val="Heading2"/>
      </w:pPr>
      <w:r>
        <w:t>7. Allowed and prohibited uses</w:t>
      </w:r>
    </w:p>
    <w:p>
      <w:pPr>
        <w:pStyle w:val="Heading3"/>
      </w:pPr>
      <w:r>
        <w:t>7.1 Allowed uses</w:t>
      </w:r>
    </w:p>
    <w:p>
      <w:r>
        <w:rPr>
          <w:b w:val="0"/>
          <w:i w:val="0"/>
        </w:rPr>
        <w:t>With approved tools, and within the client AI choice, you can use AI to:</w:t>
      </w:r>
    </w:p>
    <w:p>
      <w:pPr>
        <w:pStyle w:val="ListBullet"/>
      </w:pPr>
      <w:r>
        <w:rPr>
          <w:b w:val="0"/>
          <w:i w:val="0"/>
        </w:rPr>
        <w:t>research industries, companies, and topics from public sources</w:t>
      </w:r>
    </w:p>
    <w:p>
      <w:pPr>
        <w:pStyle w:val="ListBullet"/>
      </w:pPr>
      <w:r>
        <w:rPr>
          <w:b w:val="0"/>
          <w:i w:val="0"/>
        </w:rPr>
        <w:t>analyze client data</w:t>
      </w:r>
    </w:p>
    <w:p>
      <w:pPr>
        <w:pStyle w:val="ListBullet"/>
      </w:pPr>
      <w:r>
        <w:rPr>
          <w:b w:val="0"/>
          <w:i w:val="0"/>
        </w:rPr>
        <w:t>draft reports, presentations, and emails for you to review</w:t>
      </w:r>
    </w:p>
    <w:p>
      <w:pPr>
        <w:pStyle w:val="ListBullet"/>
      </w:pPr>
      <w:r>
        <w:rPr>
          <w:b w:val="0"/>
          <w:i w:val="0"/>
        </w:rPr>
        <w:t>summarize documents and interview notes</w:t>
      </w:r>
    </w:p>
    <w:p>
      <w:pPr>
        <w:pStyle w:val="ListBullet"/>
      </w:pPr>
      <w:r>
        <w:rPr>
          <w:b w:val="0"/>
          <w:i w:val="0"/>
        </w:rPr>
        <w:t>prepare questions for interviews and workshops</w:t>
      </w:r>
    </w:p>
    <w:p>
      <w:pPr>
        <w:pStyle w:val="Heading3"/>
      </w:pPr>
      <w:r>
        <w:t>7.2 Prohibited uses</w:t>
      </w:r>
    </w:p>
    <w:p>
      <w:r>
        <w:rPr>
          <w:b w:val="0"/>
          <w:i w:val="0"/>
        </w:rPr>
        <w:t>Do not use any AI tool to:</w:t>
      </w:r>
    </w:p>
    <w:p>
      <w:pPr>
        <w:pStyle w:val="ListBullet"/>
      </w:pPr>
      <w:r>
        <w:rPr>
          <w:b w:val="0"/>
          <w:i w:val="0"/>
        </w:rPr>
        <w:t>process client data against the client AI choice</w:t>
      </w:r>
    </w:p>
    <w:p>
      <w:pPr>
        <w:pStyle w:val="ListBullet"/>
      </w:pPr>
      <w:r>
        <w:rPr>
          <w:b w:val="0"/>
          <w:i w:val="0"/>
        </w:rPr>
        <w:t>use one client's confidential information in another client's work</w:t>
      </w:r>
    </w:p>
    <w:p>
      <w:pPr>
        <w:pStyle w:val="ListBullet"/>
      </w:pPr>
      <w:r>
        <w:rPr>
          <w:b w:val="0"/>
          <w:i w:val="0"/>
        </w:rPr>
        <w:t>create sources, quotes, data, or citations that do not exist</w:t>
      </w:r>
    </w:p>
    <w:p>
      <w:pPr>
        <w:pStyle w:val="ListBullet"/>
      </w:pPr>
      <w:r>
        <w:rPr>
          <w:b w:val="0"/>
          <w:i w:val="0"/>
        </w:rPr>
        <w:t>present AI output as your own expert opinion before you check it</w:t>
      </w:r>
    </w:p>
    <w:p>
      <w:pPr>
        <w:pStyle w:val="ListBullet"/>
      </w:pPr>
      <w:r>
        <w:rPr>
          <w:b w:val="0"/>
          <w:i w:val="0"/>
        </w:rPr>
        <w:t>record or transcribe a meeting without the consent of all participants</w:t>
      </w:r>
    </w:p>
    <w:p>
      <w:pPr>
        <w:pStyle w:val="ListBullet"/>
      </w:pPr>
      <w:r>
        <w:rPr>
          <w:b w:val="0"/>
          <w:i w:val="0"/>
        </w:rPr>
        <w:t>make a final decision about an employee or a job applicant</w:t>
      </w:r>
    </w:p>
    <w:p>
      <w:pPr>
        <w:pStyle w:val="ListBullet"/>
      </w:pPr>
      <w:r>
        <w:rPr>
          <w:b w:val="0"/>
          <w:i w:val="0"/>
        </w:rPr>
        <w:t>copy the voice, face, or writing of a real person without their permission</w:t>
      </w:r>
    </w:p>
    <w:p>
      <w:pPr>
        <w:pStyle w:val="Heading2"/>
      </w:pPr>
      <w:r>
        <w:t>8. Check the output</w:t>
      </w:r>
    </w:p>
    <w:p>
      <w:pPr>
        <w:ind w:left="504" w:hanging="360"/>
      </w:pPr>
      <w:r>
        <w:t xml:space="preserve">1.  </w:t>
      </w:r>
      <w:r>
        <w:rPr>
          <w:b w:val="0"/>
          <w:i w:val="0"/>
        </w:rPr>
        <w:t>You are responsible for every deliverable, including the parts that AI helped to make.</w:t>
      </w:r>
    </w:p>
    <w:p>
      <w:pPr>
        <w:ind w:left="504" w:hanging="360"/>
      </w:pPr>
      <w:r>
        <w:t xml:space="preserve">2.  </w:t>
      </w:r>
      <w:r>
        <w:rPr>
          <w:b w:val="0"/>
          <w:i w:val="0"/>
        </w:rPr>
        <w:t>Open and read every source and citation in a deliverable. Delete any source that you cannot find. AI tools can invent sources that look real.</w:t>
      </w:r>
    </w:p>
    <w:p>
      <w:pPr>
        <w:ind w:left="504" w:hanging="360"/>
      </w:pPr>
      <w:r>
        <w:t xml:space="preserve">3.  </w:t>
      </w:r>
      <w:r>
        <w:rPr>
          <w:b w:val="0"/>
          <w:i w:val="0"/>
        </w:rPr>
        <w:t>Check every number against the original data.</w:t>
      </w:r>
    </w:p>
    <w:p>
      <w:pPr>
        <w:ind w:left="504" w:hanging="360"/>
      </w:pPr>
      <w:r>
        <w:t xml:space="preserve">4.  </w:t>
      </w:r>
      <w:r>
        <w:rPr>
          <w:b w:val="0"/>
          <w:i w:val="0"/>
        </w:rPr>
        <w:t>A second consultant reviews each client deliverable before it goes to the client. The reviewer checks the sources and the numbers.</w:t>
      </w:r>
    </w:p>
    <w:p>
      <w:pPr>
        <w:ind w:left="504" w:hanging="360"/>
      </w:pPr>
      <w:r>
        <w:t xml:space="preserve">5.  </w:t>
      </w:r>
      <w:r>
        <w:rPr>
          <w:b w:val="0"/>
          <w:i w:val="0"/>
        </w:rPr>
        <w:t>A contract or a client can ask you to disclose AI use in a deliverable. In that case, add this line: "We used AI tools to help prepare this document. Our consultants reviewed and verified all content."</w:t>
      </w:r>
    </w:p>
    <w:p>
      <w:pPr>
        <w:pStyle w:val="Heading2"/>
      </w:pPr>
      <w:r>
        <w:t>9. Meetings and notetakers</w:t>
      </w:r>
    </w:p>
    <w:p>
      <w:pPr>
        <w:ind w:left="504" w:hanging="360"/>
      </w:pPr>
      <w:r>
        <w:t xml:space="preserve">1.  </w:t>
      </w:r>
      <w:r>
        <w:rPr>
          <w:b w:val="0"/>
          <w:i w:val="0"/>
        </w:rPr>
        <w:t>Use only the approved notetaker, with your Keystone account.</w:t>
      </w:r>
    </w:p>
    <w:p>
      <w:pPr>
        <w:ind w:left="504" w:hanging="360"/>
      </w:pPr>
      <w:r>
        <w:t xml:space="preserve">2.  </w:t>
      </w:r>
      <w:r>
        <w:rPr>
          <w:b w:val="0"/>
          <w:i w:val="0"/>
        </w:rPr>
        <w:t>Tell everyone at the start of the meeting that a notetaker is on. Stop it if anyone objects.</w:t>
      </w:r>
    </w:p>
    <w:p>
      <w:pPr>
        <w:ind w:left="504" w:hanging="360"/>
      </w:pPr>
      <w:r>
        <w:t xml:space="preserve">3.  </w:t>
      </w:r>
      <w:r>
        <w:rPr>
          <w:b w:val="0"/>
          <w:i w:val="0"/>
        </w:rPr>
        <w:t>Turn off the automatic join setting. The notetaker joins only the meetings where you start it.</w:t>
      </w:r>
    </w:p>
    <w:p>
      <w:pPr>
        <w:ind w:left="504" w:hanging="360"/>
      </w:pPr>
      <w:r>
        <w:t xml:space="preserve">4.  </w:t>
      </w:r>
      <w:r>
        <w:rPr>
          <w:b w:val="0"/>
          <w:i w:val="0"/>
        </w:rPr>
        <w:t>Do not use a notetaker in a client meeting unless the client AI choice allows it.</w:t>
      </w:r>
    </w:p>
    <w:p>
      <w:pPr>
        <w:ind w:left="504" w:hanging="360"/>
      </w:pPr>
      <w:r>
        <w:t xml:space="preserve">5.  </w:t>
      </w:r>
      <w:r>
        <w:rPr>
          <w:b w:val="0"/>
          <w:i w:val="0"/>
        </w:rPr>
        <w:t>The notetaker deletes recordings after 30 days. Keep only the summary in the engagement folder.</w:t>
      </w:r>
    </w:p>
    <w:p>
      <w:pPr>
        <w:pStyle w:val="Heading2"/>
      </w:pPr>
      <w:r>
        <w:t>10. Billing</w:t>
      </w:r>
    </w:p>
    <w:p>
      <w:pPr>
        <w:ind w:left="504" w:hanging="360"/>
      </w:pPr>
      <w:r>
        <w:t xml:space="preserve">1.  </w:t>
      </w:r>
      <w:r>
        <w:rPr>
          <w:b w:val="0"/>
          <w:i w:val="0"/>
        </w:rPr>
        <w:t>Bill only for the time that you actually work.</w:t>
      </w:r>
    </w:p>
    <w:p>
      <w:pPr>
        <w:ind w:left="504" w:hanging="360"/>
      </w:pPr>
      <w:r>
        <w:t xml:space="preserve">2.  </w:t>
      </w:r>
      <w:r>
        <w:rPr>
          <w:b w:val="0"/>
          <w:i w:val="0"/>
        </w:rPr>
        <w:t>Do not bill a client for the time that you spend learning a new AI tool.</w:t>
      </w:r>
    </w:p>
    <w:p>
      <w:pPr>
        <w:ind w:left="504" w:hanging="360"/>
      </w:pPr>
      <w:r>
        <w:t xml:space="preserve">3.  </w:t>
      </w:r>
      <w:r>
        <w:rPr>
          <w:b w:val="0"/>
          <w:i w:val="0"/>
        </w:rPr>
        <w:t>If a client asks how AI affects our fees, the engagement lead answers honestly.</w:t>
      </w:r>
    </w:p>
    <w:p>
      <w:pPr>
        <w:pStyle w:val="Heading2"/>
      </w:pPr>
      <w:r>
        <w:t>11. Security and fraud</w:t>
      </w:r>
    </w:p>
    <w:p>
      <w:pPr>
        <w:ind w:left="504" w:hanging="360"/>
      </w:pPr>
      <w:r>
        <w:t xml:space="preserve">1.  </w:t>
      </w:r>
      <w:r>
        <w:rPr>
          <w:b w:val="0"/>
          <w:i w:val="0"/>
        </w:rPr>
        <w:t>Do not install AI browser extensions, or connect AI tools to email or file storage, without approval from the Operations Manager.</w:t>
      </w:r>
    </w:p>
    <w:p>
      <w:pPr>
        <w:ind w:left="504" w:hanging="360"/>
      </w:pPr>
      <w:r>
        <w:t xml:space="preserve">2.  </w:t>
      </w:r>
      <w:r>
        <w:rPr>
          <w:b w:val="0"/>
          <w:i w:val="0"/>
        </w:rPr>
        <w:t>AI tools can follow hidden instructions in websites and documents ("prompt injection"). Do not let an AI tool send email, share files, or take other actions without your check.</w:t>
      </w:r>
    </w:p>
    <w:p>
      <w:pPr>
        <w:ind w:left="504" w:hanging="360"/>
      </w:pPr>
      <w:r>
        <w:t xml:space="preserve">3.  </w:t>
      </w:r>
      <w:r>
        <w:rPr>
          <w:b w:val="0"/>
          <w:i w:val="0"/>
        </w:rPr>
        <w:t>Criminals use AI to copy voices and faces. If someone asks for a payment, a password, or client data in an urgent message, call the person back on a number that you know.</w:t>
      </w:r>
    </w:p>
    <w:p>
      <w:pPr>
        <w:pStyle w:val="Heading2"/>
      </w:pPr>
      <w:r>
        <w:t>12. Training</w:t>
      </w:r>
    </w:p>
    <w:p>
      <w:pPr>
        <w:ind w:left="504" w:hanging="360"/>
      </w:pPr>
      <w:r>
        <w:t xml:space="preserve">1.  </w:t>
      </w:r>
      <w:r>
        <w:rPr>
          <w:b w:val="0"/>
          <w:i w:val="0"/>
        </w:rPr>
        <w:t>Complete the AI training within 30 days after you join, and a refresher every 12 months.</w:t>
      </w:r>
    </w:p>
    <w:p>
      <w:pPr>
        <w:ind w:left="504" w:hanging="360"/>
      </w:pPr>
      <w:r>
        <w:t xml:space="preserve">2.  </w:t>
      </w:r>
      <w:r>
        <w:rPr>
          <w:b w:val="0"/>
          <w:i w:val="0"/>
        </w:rPr>
        <w:t>The training covers this policy, the client AI choice, source checking, and AI fraud.</w:t>
      </w:r>
    </w:p>
    <w:p>
      <w:pPr>
        <w:pStyle w:val="Heading2"/>
      </w:pPr>
      <w:r>
        <w:t>13. Report problems</w:t>
      </w:r>
    </w:p>
    <w:p>
      <w:r>
        <w:rPr>
          <w:b w:val="0"/>
          <w:i w:val="0"/>
        </w:rPr>
        <w:t>Tell the Managing Partner immediately if:</w:t>
      </w:r>
    </w:p>
    <w:p>
      <w:pPr>
        <w:pStyle w:val="ListBullet"/>
      </w:pPr>
      <w:r>
        <w:rPr>
          <w:b w:val="0"/>
          <w:i w:val="0"/>
        </w:rPr>
        <w:t>client data went into a tool that is not approved, or against the client AI choice</w:t>
      </w:r>
    </w:p>
    <w:p>
      <w:pPr>
        <w:pStyle w:val="ListBullet"/>
      </w:pPr>
      <w:r>
        <w:rPr>
          <w:b w:val="0"/>
          <w:i w:val="0"/>
        </w:rPr>
        <w:t>a deliverable with an AI error went to a client</w:t>
      </w:r>
    </w:p>
    <w:p>
      <w:pPr>
        <w:pStyle w:val="ListBullet"/>
      </w:pPr>
      <w:r>
        <w:rPr>
          <w:b w:val="0"/>
          <w:i w:val="0"/>
        </w:rPr>
        <w:t>a notetaker recorded a meeting without consent</w:t>
      </w:r>
    </w:p>
    <w:p>
      <w:pPr>
        <w:pStyle w:val="ListBullet"/>
      </w:pPr>
      <w:r>
        <w:rPr>
          <w:b w:val="0"/>
          <w:i w:val="0"/>
        </w:rPr>
        <w:t>you received a suspicious request that could be a deepfake</w:t>
      </w:r>
    </w:p>
    <w:p>
      <w:r>
        <w:rPr>
          <w:b w:val="0"/>
          <w:i w:val="0"/>
        </w:rPr>
        <w:t>Report even if you are not sure. We do not punish good-faith reports of mistakes. The AI incident-response playbook explains what happens next.</w:t>
      </w:r>
    </w:p>
    <w:p>
      <w:pPr>
        <w:pStyle w:val="Heading2"/>
      </w:pPr>
      <w:r>
        <w:t>14. Exceptions, enforcement, and review</w:t>
      </w:r>
    </w:p>
    <w:p>
      <w:pPr>
        <w:ind w:left="504" w:hanging="360"/>
      </w:pPr>
      <w:r>
        <w:t xml:space="preserve">1.  </w:t>
      </w:r>
      <w:r>
        <w:rPr>
          <w:b/>
          <w:i w:val="0"/>
        </w:rPr>
        <w:t>Exceptions:</w:t>
      </w:r>
      <w:r>
        <w:rPr>
          <w:b w:val="0"/>
          <w:i w:val="0"/>
        </w:rPr>
        <w:t xml:space="preserve"> Ask the Managing Partner in writing. Exceptions can never go against a client AI choice.</w:t>
      </w:r>
    </w:p>
    <w:p>
      <w:pPr>
        <w:ind w:left="504" w:hanging="360"/>
      </w:pPr>
      <w:r>
        <w:t xml:space="preserve">2.  </w:t>
      </w:r>
      <w:r>
        <w:rPr>
          <w:b/>
          <w:i w:val="0"/>
        </w:rPr>
        <w:t>Enforcement:</w:t>
      </w:r>
      <w:r>
        <w:rPr>
          <w:b w:val="0"/>
          <w:i w:val="0"/>
        </w:rPr>
        <w:t xml:space="preserve"> If you do not follow this policy, you can lose access to AI tools. Other action is also possible, as your contract and the law allow.</w:t>
      </w:r>
    </w:p>
    <w:p>
      <w:pPr>
        <w:ind w:left="504" w:hanging="360"/>
      </w:pPr>
      <w:r>
        <w:t xml:space="preserve">3.  </w:t>
      </w:r>
      <w:r>
        <w:rPr>
          <w:b/>
          <w:i w:val="0"/>
        </w:rPr>
        <w:t>Your rights:</w:t>
      </w:r>
      <w:r>
        <w:rPr>
          <w:b w:val="0"/>
          <w:i w:val="0"/>
        </w:rPr>
        <w:t xml:space="preserve"> This policy does not limit your rights under the law, including your right to discuss the terms and conditions of your work.</w:t>
      </w:r>
    </w:p>
    <w:p>
      <w:pPr>
        <w:ind w:left="504" w:hanging="360"/>
      </w:pPr>
      <w:r>
        <w:t xml:space="preserve">4.  </w:t>
      </w:r>
      <w:r>
        <w:rPr>
          <w:b/>
          <w:i w:val="0"/>
        </w:rPr>
        <w:t>Review:</w:t>
      </w:r>
      <w:r>
        <w:rPr>
          <w:b w:val="0"/>
          <w:i w:val="0"/>
        </w:rPr>
        <w:t xml:space="preserve"> The Managing Partner reviews this policy at least every 12 months. The Managing Partner also reviews it after a serious AI incident, when a law changes, or when an AI vendor changes its terms.</w:t>
      </w:r>
    </w:p>
    <w:p>
      <w:pPr>
        <w:pBdr>
          <w:bottom w:val="single" w:sz="6" w:space="1" w:color="BFC5CC"/>
        </w:pBdr>
      </w:pPr>
    </w:p>
    <w:p>
      <w:pPr>
        <w:pStyle w:val="Heading2"/>
      </w:pPr>
      <w:r>
        <w:t>Acknowledgement</w:t>
      </w:r>
    </w:p>
    <w:p>
      <w:r>
        <w:rPr>
          <w:b w:val="0"/>
          <w:i w:val="0"/>
        </w:rPr>
        <w:t>I read the Keystone Advisory AI Acceptable-Use Policy. I understand it, and I agree to follow it.</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Name</w:t>
            </w:r>
          </w:p>
        </w:tc>
        <w:tc>
          <w:tcPr>
            <w:tcW w:type="dxa" w:w="3120"/>
            <w:shd w:val="clear" w:fill="E8EEF4"/>
          </w:tcPr>
          <w:p>
            <w:r>
              <w:rPr>
                <w:b/>
                <w:i w:val="0"/>
              </w:rPr>
              <w:t>Signature</w:t>
            </w:r>
          </w:p>
        </w:tc>
        <w:tc>
          <w:tcPr>
            <w:tcW w:type="dxa" w:w="3120"/>
            <w:shd w:val="clear" w:fill="E8EEF4"/>
          </w:tcPr>
          <w:p>
            <w:r>
              <w:rPr>
                <w:b/>
                <w:i w:val="0"/>
              </w:rPr>
              <w:t>Date</w:t>
            </w:r>
          </w:p>
        </w:tc>
      </w:tr>
      <w:tr>
        <w:tc>
          <w:tcPr>
            <w:tcW w:type="dxa" w:w="3120"/>
          </w:tcPr>
          <w:p/>
        </w:tc>
        <w:tc>
          <w:tcPr>
            <w:tcW w:type="dxa" w:w="3120"/>
          </w:tcPr>
          <w:p/>
        </w:tc>
        <w:tc>
          <w:tcPr>
            <w:tcW w:type="dxa" w:w="3120"/>
          </w:tcPr>
          <w:p/>
        </w:tc>
      </w:tr>
    </w:tbl>
    <w:p/>
    <w:p>
      <w:pPr>
        <w:pBdr>
          <w:bottom w:val="single" w:sz="6" w:space="1" w:color="BFC5CC"/>
        </w:pBdr>
      </w:pPr>
    </w:p>
    <w:p>
      <w:pPr>
        <w:pStyle w:val="Heading2"/>
      </w:pPr>
      <w:r>
        <w:t>Appendix A. Answers when clients ask about our AI use</w:t>
      </w:r>
    </w:p>
    <w:tbl>
      <w:tblPr>
        <w:tblStyle w:val="TableGrid"/>
        <w:tblW w:type="auto" w:w="0"/>
        <w:tblLook w:firstColumn="1" w:firstRow="1" w:lastColumn="0" w:lastRow="0" w:noHBand="0" w:noVBand="1" w:val="04A0"/>
      </w:tblPr>
      <w:tblGrid>
        <w:gridCol w:w="3120"/>
        <w:gridCol w:w="3120"/>
        <w:gridCol w:w="3120"/>
      </w:tblGrid>
      <w:tr>
        <w:tc>
          <w:tcPr>
            <w:tcW w:type="dxa" w:w="3120"/>
            <w:shd w:val="clear" w:fill="E8EEF4"/>
          </w:tcPr>
          <w:p>
            <w:r>
              <w:rPr>
                <w:b/>
                <w:i w:val="0"/>
              </w:rPr>
              <w:t>Client question</w:t>
            </w:r>
          </w:p>
        </w:tc>
        <w:tc>
          <w:tcPr>
            <w:tcW w:type="dxa" w:w="3120"/>
            <w:shd w:val="clear" w:fill="E8EEF4"/>
          </w:tcPr>
          <w:p>
            <w:r>
              <w:rPr>
                <w:b/>
                <w:i w:val="0"/>
              </w:rPr>
              <w:t>Answer in this policy</w:t>
            </w:r>
          </w:p>
        </w:tc>
        <w:tc>
          <w:tcPr>
            <w:tcW w:type="dxa" w:w="3120"/>
            <w:shd w:val="clear" w:fill="E8EEF4"/>
          </w:tcPr>
          <w:p>
            <w:r>
              <w:rPr>
                <w:b/>
                <w:i w:val="0"/>
              </w:rPr>
              <w:t>What to send</w:t>
            </w:r>
          </w:p>
        </w:tc>
      </w:tr>
      <w:tr>
        <w:tc>
          <w:tcPr>
            <w:tcW w:type="dxa" w:w="3120"/>
          </w:tcPr>
          <w:p>
            <w:r>
              <w:rPr>
                <w:b w:val="0"/>
                <w:i w:val="0"/>
              </w:rPr>
              <w:t>Do you use AI on our data?</w:t>
            </w:r>
          </w:p>
        </w:tc>
        <w:tc>
          <w:tcPr>
            <w:tcW w:type="dxa" w:w="3120"/>
          </w:tcPr>
          <w:p>
            <w:r>
              <w:rPr>
                <w:b w:val="0"/>
                <w:i w:val="0"/>
              </w:rPr>
              <w:t>6</w:t>
            </w:r>
          </w:p>
        </w:tc>
        <w:tc>
          <w:tcPr>
            <w:tcW w:type="dxa" w:w="3120"/>
          </w:tcPr>
          <w:p>
            <w:r>
              <w:rPr>
                <w:b w:val="0"/>
                <w:i w:val="0"/>
              </w:rPr>
              <w:t>The client AI-use notice</w:t>
            </w:r>
          </w:p>
        </w:tc>
      </w:tr>
      <w:tr>
        <w:tc>
          <w:tcPr>
            <w:tcW w:type="dxa" w:w="3120"/>
          </w:tcPr>
          <w:p>
            <w:r>
              <w:rPr>
                <w:b w:val="0"/>
                <w:i w:val="0"/>
              </w:rPr>
              <w:t>Which AI tools do you use?</w:t>
            </w:r>
          </w:p>
        </w:tc>
        <w:tc>
          <w:tcPr>
            <w:tcW w:type="dxa" w:w="3120"/>
          </w:tcPr>
          <w:p>
            <w:r>
              <w:rPr>
                <w:b w:val="0"/>
                <w:i w:val="0"/>
              </w:rPr>
              <w:t>4</w:t>
            </w:r>
          </w:p>
        </w:tc>
        <w:tc>
          <w:tcPr>
            <w:tcW w:type="dxa" w:w="3120"/>
          </w:tcPr>
          <w:p>
            <w:r>
              <w:rPr>
                <w:b w:val="0"/>
                <w:i w:val="0"/>
              </w:rPr>
              <w:t>The tool list from the client AI-use notice</w:t>
            </w:r>
          </w:p>
        </w:tc>
      </w:tr>
      <w:tr>
        <w:tc>
          <w:tcPr>
            <w:tcW w:type="dxa" w:w="3120"/>
          </w:tcPr>
          <w:p>
            <w:r>
              <w:rPr>
                <w:b w:val="0"/>
                <w:i w:val="0"/>
              </w:rPr>
              <w:t>Do the AI vendors train on our data?</w:t>
            </w:r>
          </w:p>
        </w:tc>
        <w:tc>
          <w:tcPr>
            <w:tcW w:type="dxa" w:w="3120"/>
          </w:tcPr>
          <w:p>
            <w:r>
              <w:rPr>
                <w:b w:val="0"/>
                <w:i w:val="0"/>
              </w:rPr>
              <w:t>4.4</w:t>
            </w:r>
          </w:p>
        </w:tc>
        <w:tc>
          <w:tcPr>
            <w:tcW w:type="dxa" w:w="3120"/>
          </w:tcPr>
          <w:p>
            <w:r>
              <w:rPr>
                <w:b w:val="0"/>
                <w:i w:val="0"/>
              </w:rPr>
              <w:t>The vendor contract terms</w:t>
            </w:r>
          </w:p>
        </w:tc>
      </w:tr>
      <w:tr>
        <w:tc>
          <w:tcPr>
            <w:tcW w:type="dxa" w:w="3120"/>
          </w:tcPr>
          <w:p>
            <w:r>
              <w:rPr>
                <w:b w:val="0"/>
                <w:i w:val="0"/>
              </w:rPr>
              <w:t>Can our data mix with another client's data?</w:t>
            </w:r>
          </w:p>
        </w:tc>
        <w:tc>
          <w:tcPr>
            <w:tcW w:type="dxa" w:w="3120"/>
          </w:tcPr>
          <w:p>
            <w:r>
              <w:rPr>
                <w:b w:val="0"/>
                <w:i w:val="0"/>
              </w:rPr>
              <w:t>5</w:t>
            </w:r>
          </w:p>
        </w:tc>
        <w:tc>
          <w:tcPr>
            <w:tcW w:type="dxa" w:w="3120"/>
          </w:tcPr>
          <w:p>
            <w:r>
              <w:rPr>
                <w:b w:val="0"/>
                <w:i w:val="0"/>
              </w:rPr>
              <w:t>A description of the separate workspaces</w:t>
            </w:r>
          </w:p>
        </w:tc>
      </w:tr>
      <w:tr>
        <w:tc>
          <w:tcPr>
            <w:tcW w:type="dxa" w:w="3120"/>
          </w:tcPr>
          <w:p>
            <w:r>
              <w:rPr>
                <w:b w:val="0"/>
                <w:i w:val="0"/>
              </w:rPr>
              <w:t>How do you check AI output?</w:t>
            </w:r>
          </w:p>
        </w:tc>
        <w:tc>
          <w:tcPr>
            <w:tcW w:type="dxa" w:w="3120"/>
          </w:tcPr>
          <w:p>
            <w:r>
              <w:rPr>
                <w:b w:val="0"/>
                <w:i w:val="0"/>
              </w:rPr>
              <w:t>8</w:t>
            </w:r>
          </w:p>
        </w:tc>
        <w:tc>
          <w:tcPr>
            <w:tcW w:type="dxa" w:w="3120"/>
          </w:tcPr>
          <w:p>
            <w:r>
              <w:rPr>
                <w:b w:val="0"/>
                <w:i w:val="0"/>
              </w:rPr>
              <w:t>The review steps</w:t>
            </w:r>
          </w:p>
        </w:tc>
      </w:tr>
      <w:tr>
        <w:tc>
          <w:tcPr>
            <w:tcW w:type="dxa" w:w="3120"/>
          </w:tcPr>
          <w:p>
            <w:r>
              <w:rPr>
                <w:b w:val="0"/>
                <w:i w:val="0"/>
              </w:rPr>
              <w:t>Will you record our meetings?</w:t>
            </w:r>
          </w:p>
        </w:tc>
        <w:tc>
          <w:tcPr>
            <w:tcW w:type="dxa" w:w="3120"/>
          </w:tcPr>
          <w:p>
            <w:r>
              <w:rPr>
                <w:b w:val="0"/>
                <w:i w:val="0"/>
              </w:rPr>
              <w:t>9</w:t>
            </w:r>
          </w:p>
        </w:tc>
        <w:tc>
          <w:tcPr>
            <w:tcW w:type="dxa" w:w="3120"/>
          </w:tcPr>
          <w:p>
            <w:r>
              <w:rPr>
                <w:b w:val="0"/>
                <w:i w:val="0"/>
              </w:rPr>
              <w:t>The notetaker rules</w:t>
            </w:r>
          </w:p>
        </w:tc>
      </w:tr>
      <w:tr>
        <w:tc>
          <w:tcPr>
            <w:tcW w:type="dxa" w:w="3120"/>
          </w:tcPr>
          <w:p>
            <w:r>
              <w:rPr>
                <w:b w:val="0"/>
                <w:i w:val="0"/>
              </w:rPr>
              <w:t>Do you charge us for AI learning time?</w:t>
            </w:r>
          </w:p>
        </w:tc>
        <w:tc>
          <w:tcPr>
            <w:tcW w:type="dxa" w:w="3120"/>
          </w:tcPr>
          <w:p>
            <w:r>
              <w:rPr>
                <w:b w:val="0"/>
                <w:i w:val="0"/>
              </w:rPr>
              <w:t>10</w:t>
            </w:r>
          </w:p>
        </w:tc>
        <w:tc>
          <w:tcPr>
            <w:tcW w:type="dxa" w:w="3120"/>
          </w:tcPr>
          <w:p>
            <w:r>
              <w:rPr>
                <w:b w:val="0"/>
                <w:i w:val="0"/>
              </w:rPr>
              <w:t>The billing rules</w:t>
            </w:r>
          </w:p>
        </w:tc>
      </w:tr>
    </w:tbl>
    <w:p/>
    <w:p>
      <w:pPr>
        <w:pStyle w:val="Heading2"/>
      </w:pPr>
      <w:r>
        <w:t>Appendix B. Framework mapping</w:t>
      </w:r>
    </w:p>
    <w:p>
      <w:r>
        <w:rPr>
          <w:b w:val="0"/>
          <w:i w:val="0"/>
        </w:rPr>
        <w:t>The generic template has the full section-by-section mapping. This example adds controls that support these items:</w:t>
      </w:r>
    </w:p>
    <w:p>
      <w:pPr>
        <w:pStyle w:val="ListBullet"/>
      </w:pPr>
      <w:r>
        <w:rPr>
          <w:b/>
          <w:i w:val="0"/>
        </w:rPr>
        <w:t>NIST AI RMF 1.0:</w:t>
      </w:r>
      <w:r>
        <w:rPr>
          <w:b w:val="0"/>
          <w:i w:val="0"/>
        </w:rPr>
        <w:t xml:space="preserve"> GOVERN 6.1 (third-party risks), MAP 3.5 (human oversight), MANAGE 4.3 (incident communication)</w:t>
      </w:r>
    </w:p>
    <w:p>
      <w:pPr>
        <w:pStyle w:val="ListBullet"/>
      </w:pPr>
      <w:r>
        <w:rPr>
          <w:b/>
          <w:i w:val="0"/>
        </w:rPr>
        <w:t>NIST AI 600-1:</w:t>
      </w:r>
      <w:r>
        <w:rPr>
          <w:b w:val="0"/>
          <w:i w:val="0"/>
        </w:rPr>
        <w:t xml:space="preserve"> GV-1.4-002 (transparent acceptable-use policies), GV-6.1-010 (rules for contractors and other third parties)</w:t>
      </w:r>
    </w:p>
    <w:p>
      <w:pPr>
        <w:pStyle w:val="ListBullet"/>
      </w:pPr>
      <w:r>
        <w:rPr>
          <w:b/>
          <w:i w:val="0"/>
        </w:rPr>
        <w:t>ISO/IEC 42001, Annex A areas:</w:t>
      </w:r>
      <w:r>
        <w:rPr>
          <w:b w:val="0"/>
          <w:i w:val="0"/>
        </w:rPr>
        <w:t xml:space="preserve"> A.8 (information for interested parties), A.10 (third-party and customer relationships)</w:t>
      </w:r>
    </w:p>
    <w:p>
      <w:pPr>
        <w:pStyle w:val="ListBullet"/>
      </w:pPr>
      <w:r>
        <w:rPr>
          <w:b/>
          <w:i w:val="0"/>
        </w:rPr>
        <w:t>OWASP Top 10 for LLM Applications 2026:</w:t>
      </w:r>
      <w:r>
        <w:rPr>
          <w:b w:val="0"/>
          <w:i w:val="0"/>
        </w:rPr>
        <w:t xml:space="preserve"> LLM01 Prompt Injection (11.2), LLM02 Sensitive Information Disclosure (5, 6), LLM07 Misinformation (8)</w:t>
      </w:r>
    </w:p>
    <w:p>
      <w:pPr>
        <w:pBdr>
          <w:bottom w:val="single" w:sz="6" w:space="1" w:color="BFC5CC"/>
        </w:pBdr>
      </w:pPr>
    </w:p>
    <w:p>
      <w:r>
        <w:rPr>
          <w:b w:val="0"/>
          <w:i/>
          <w:color w:val="59636E"/>
        </w:rPr>
        <w:t xml:space="preserve">Fictional example by </w:t>
      </w:r>
      <w:hyperlink r:id="rId10">
        <w:r>
          <w:rPr>
            <w:color w:val="0563C1"/>
            <w:u w:val="single"/>
          </w:rPr>
          <w:t xml:space="preserve">NosisTech LLC</w:t>
        </w:r>
      </w:hyperlink>
      <w:r>
        <w:rPr>
          <w:b w:val="0"/>
          <w:i/>
          <w:color w:val="59636E"/>
        </w:rPr>
        <w:t xml:space="preserve">. Part of the free </w:t>
      </w:r>
      <w:hyperlink r:id="rId11">
        <w:r>
          <w:rPr>
            <w:color w:val="0563C1"/>
            <w:u w:val="single"/>
          </w:rPr>
          <w:t xml:space="preserve">governance-templates</w:t>
        </w:r>
      </w:hyperlink>
      <w:r>
        <w:rPr>
          <w:b w:val="0"/>
          <w:i/>
          <w:color w:val="59636E"/>
        </w:rPr>
        <w:t xml:space="preserve"> collection. Licensed under </w:t>
      </w:r>
      <w:hyperlink r:id="rId12">
        <w:r>
          <w:rPr>
            <w:color w:val="0563C1"/>
            <w:u w:val="single"/>
          </w:rPr>
          <w:t xml:space="preserve">CC BY 4.0</w:t>
        </w:r>
      </w:hyperlink>
      <w:r>
        <w:rPr>
          <w:b w:val="0"/>
          <w:i/>
          <w:color w:val="59636E"/>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NosisTech LLC · governance-templates · CC 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sistech.com" TargetMode="External"/><Relationship Id="rId11" Type="http://schemas.openxmlformats.org/officeDocument/2006/relationships/hyperlink" Target="https://github.com/nosistech/governance-templates" TargetMode="External"/><Relationship Id="rId12"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