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Acceptable-Use Policy: Riverbend Family Health (fictional example)</w:t>
      </w:r>
    </w:p>
    <w:p>
      <w:pPr>
        <w:ind w:left="432"/>
      </w:pPr>
      <w:r>
        <w:rPr>
          <w:b/>
          <w:i/>
          <w:color w:val="59636E"/>
        </w:rPr>
        <w:t>This is a fictional worked example.</w:t>
      </w:r>
      <w:r>
        <w:rPr>
          <w:b w:val="0"/>
          <w:i/>
          <w:color w:val="59636E"/>
        </w:rPr>
        <w:t xml:space="preserve"> Riverbend Family Health does not exist. It shows how a US outpatient clinic group could adapt the </w:t>
      </w:r>
      <w:r>
        <w:rPr>
          <w:b w:val="0"/>
          <w:i/>
        </w:rPr>
        <w:t>generic template</w:t>
      </w:r>
      <w:r>
        <w:rPr>
          <w:b w:val="0"/>
          <w:i/>
          <w:color w:val="59636E"/>
        </w:rPr>
        <w:t>. Laws change and differ by state. Ask your legal counsel and your HIPAA Privacy Officer to review your own policy. This example is not legal advice.</w:t>
      </w:r>
    </w:p>
    <w:p>
      <w:pPr>
        <w:ind w:left="432"/>
      </w:pPr>
      <w:r>
        <w:rPr>
          <w:b w:val="0"/>
          <w:i/>
          <w:color w:val="59636E"/>
        </w:rPr>
        <w:t>Free to use and adapt.</w:t>
      </w:r>
    </w:p>
    <w:tbl>
      <w:tblPr>
        <w:tblStyle w:val="TableGrid"/>
        <w:tblW w:type="auto" w:w="0"/>
        <w:tblLook w:firstColumn="1" w:firstRow="1" w:lastColumn="0" w:lastRow="0" w:noHBand="0" w:noVBand="1" w:val="04A0"/>
      </w:tblPr>
      <w:tblGrid>
        <w:gridCol w:w="4680"/>
        <w:gridCol w:w="4680"/>
      </w:tblGrid>
      <w:tr>
        <w:tc>
          <w:tcPr>
            <w:tcW w:type="dxa" w:w="4680"/>
            <w:shd w:val="clear" w:fill="E8EEF4"/>
          </w:tcPr>
          <w:p>
            <w:r>
              <w:rPr>
                <w:b/>
                <w:i w:val="0"/>
              </w:rPr>
              <w:t>Document control</w:t>
            </w:r>
          </w:p>
        </w:tc>
        <w:tc>
          <w:tcPr>
            <w:tcW w:type="dxa" w:w="4680"/>
            <w:shd w:val="clear" w:fill="E8EEF4"/>
          </w:tcPr>
          <w:p/>
        </w:tc>
      </w:tr>
      <w:tr>
        <w:tc>
          <w:tcPr>
            <w:tcW w:type="dxa" w:w="4680"/>
          </w:tcPr>
          <w:p>
            <w:r>
              <w:rPr>
                <w:b w:val="0"/>
                <w:i w:val="0"/>
              </w:rPr>
              <w:t>Company</w:t>
            </w:r>
          </w:p>
        </w:tc>
        <w:tc>
          <w:tcPr>
            <w:tcW w:type="dxa" w:w="4680"/>
          </w:tcPr>
          <w:p>
            <w:r>
              <w:rPr>
                <w:b w:val="0"/>
                <w:i w:val="0"/>
              </w:rPr>
              <w:t>Riverbend Family Health (6 family-medicine clinics: 4 in Texas, 2 in California, about 120 staff)</w:t>
            </w:r>
          </w:p>
        </w:tc>
      </w:tr>
      <w:tr>
        <w:tc>
          <w:tcPr>
            <w:tcW w:type="dxa" w:w="4680"/>
          </w:tcPr>
          <w:p>
            <w:r>
              <w:rPr>
                <w:b w:val="0"/>
                <w:i w:val="0"/>
              </w:rPr>
              <w:t>Policy owner</w:t>
            </w:r>
          </w:p>
        </w:tc>
        <w:tc>
          <w:tcPr>
            <w:tcW w:type="dxa" w:w="4680"/>
          </w:tcPr>
          <w:p>
            <w:r>
              <w:rPr>
                <w:b w:val="0"/>
                <w:i w:val="0"/>
              </w:rPr>
              <w:t>Chief Operating Officer</w:t>
            </w:r>
          </w:p>
        </w:tc>
      </w:tr>
      <w:tr>
        <w:tc>
          <w:tcPr>
            <w:tcW w:type="dxa" w:w="4680"/>
          </w:tcPr>
          <w:p>
            <w:r>
              <w:rPr>
                <w:b w:val="0"/>
                <w:i w:val="0"/>
              </w:rPr>
              <w:t>Approved by</w:t>
            </w:r>
          </w:p>
        </w:tc>
        <w:tc>
          <w:tcPr>
            <w:tcW w:type="dxa" w:w="4680"/>
          </w:tcPr>
          <w:p>
            <w:r>
              <w:rPr>
                <w:b w:val="0"/>
                <w:i w:val="0"/>
              </w:rPr>
              <w:t>Chief Executive Officer and Medical Director</w:t>
            </w:r>
          </w:p>
        </w:tc>
      </w:tr>
      <w:tr>
        <w:tc>
          <w:tcPr>
            <w:tcW w:type="dxa" w:w="4680"/>
          </w:tcPr>
          <w:p>
            <w:r>
              <w:rPr>
                <w:b w:val="0"/>
                <w:i w:val="0"/>
              </w:rPr>
              <w:t>Effective date</w:t>
            </w:r>
          </w:p>
        </w:tc>
        <w:tc>
          <w:tcPr>
            <w:tcW w:type="dxa" w:w="4680"/>
          </w:tcPr>
          <w:p>
            <w:r>
              <w:rPr>
                <w:b w:val="0"/>
                <w:i w:val="0"/>
              </w:rPr>
              <w:t>November 1, 2026</w:t>
            </w:r>
          </w:p>
        </w:tc>
      </w:tr>
      <w:tr>
        <w:tc>
          <w:tcPr>
            <w:tcW w:type="dxa" w:w="4680"/>
          </w:tcPr>
          <w:p>
            <w:r>
              <w:rPr>
                <w:b w:val="0"/>
                <w:i w:val="0"/>
              </w:rPr>
              <w:t>Version</w:t>
            </w:r>
          </w:p>
        </w:tc>
        <w:tc>
          <w:tcPr>
            <w:tcW w:type="dxa" w:w="4680"/>
          </w:tcPr>
          <w:p>
            <w:r>
              <w:rPr>
                <w:b w:val="0"/>
                <w:i w:val="0"/>
              </w:rPr>
              <w:t>1.0</w:t>
            </w:r>
          </w:p>
        </w:tc>
      </w:tr>
      <w:tr>
        <w:tc>
          <w:tcPr>
            <w:tcW w:type="dxa" w:w="4680"/>
          </w:tcPr>
          <w:p>
            <w:r>
              <w:rPr>
                <w:b w:val="0"/>
                <w:i w:val="0"/>
              </w:rPr>
              <w:t>Next review</w:t>
            </w:r>
          </w:p>
        </w:tc>
        <w:tc>
          <w:tcPr>
            <w:tcW w:type="dxa" w:w="4680"/>
          </w:tcPr>
          <w:p>
            <w:r>
              <w:rPr>
                <w:b w:val="0"/>
                <w:i w:val="0"/>
              </w:rPr>
              <w:t>October 31, 2027</w:t>
            </w:r>
          </w:p>
        </w:tc>
      </w:tr>
    </w:tbl>
    <w:p/>
    <w:p>
      <w:pPr>
        <w:pBdr>
          <w:bottom w:val="single" w:sz="6" w:space="1" w:color="BFC5CC"/>
        </w:pBdr>
      </w:pPr>
    </w:p>
    <w:p>
      <w:pPr>
        <w:pStyle w:val="Heading2"/>
      </w:pPr>
      <w:r>
        <w:t>1. Purpose</w:t>
      </w:r>
    </w:p>
    <w:p>
      <w:r>
        <w:rPr>
          <w:b w:val="0"/>
          <w:i w:val="0"/>
        </w:rPr>
        <w:t>Riverbend Family Health uses artificial intelligence (AI) tools to reduce paperwork and give clinicians more time with patients. This policy tells our workforce how to use AI tools safely. It protects our patients, their health information, and their trust in us.</w:t>
      </w:r>
    </w:p>
    <w:p>
      <w:pPr>
        <w:pStyle w:val="Heading2"/>
      </w:pPr>
      <w:r>
        <w:t>2. Scope</w:t>
      </w:r>
    </w:p>
    <w:p>
      <w:pPr>
        <w:pStyle w:val="Heading3"/>
      </w:pPr>
      <w:r>
        <w:t>2.1 Who this policy applies to</w:t>
      </w:r>
    </w:p>
    <w:p>
      <w:r>
        <w:rPr>
          <w:b w:val="0"/>
          <w:i w:val="0"/>
        </w:rPr>
        <w:t>This policy applies to our whole workforce: physicians, nurse practitioners, nurses, medical assistants, front-desk staff, billing staff, managers, contractors, students, and volunteers. Vendors that use AI with our data must follow the AI terms in their contracts and Business Associate Agreements.</w:t>
      </w:r>
    </w:p>
    <w:p>
      <w:pPr>
        <w:pStyle w:val="Heading3"/>
      </w:pPr>
      <w:r>
        <w:t>2.2 Which tools this policy applies to</w:t>
      </w:r>
    </w:p>
    <w:p>
      <w:r>
        <w:rPr>
          <w:b w:val="0"/>
          <w:i w:val="0"/>
        </w:rPr>
        <w:t>This policy applies to every AI tool that you use for Riverbend work, on a Riverbend device or a personal device. At Riverbend, this includes:</w:t>
      </w:r>
    </w:p>
    <w:p>
      <w:pPr>
        <w:pStyle w:val="ListBullet"/>
      </w:pPr>
      <w:r>
        <w:rPr>
          <w:b w:val="0"/>
          <w:i w:val="0"/>
        </w:rPr>
        <w:t>the ambient AI scribe in our electronic health record (EHR)</w:t>
      </w:r>
    </w:p>
    <w:p>
      <w:pPr>
        <w:pStyle w:val="ListBullet"/>
      </w:pPr>
      <w:r>
        <w:rPr>
          <w:b w:val="0"/>
          <w:i w:val="0"/>
        </w:rPr>
        <w:t>the AI assistant that drafts replies to patient portal messages</w:t>
      </w:r>
    </w:p>
    <w:p>
      <w:pPr>
        <w:pStyle w:val="ListBullet"/>
      </w:pPr>
      <w:r>
        <w:rPr>
          <w:b w:val="0"/>
          <w:i w:val="0"/>
        </w:rPr>
        <w:t>the AI scheduling assistant on our website and phone line</w:t>
      </w:r>
    </w:p>
    <w:p>
      <w:pPr>
        <w:pStyle w:val="ListBullet"/>
      </w:pPr>
      <w:r>
        <w:rPr>
          <w:b w:val="0"/>
          <w:i w:val="0"/>
        </w:rPr>
        <w:t>the AI features in our office software, email, and practice-management system</w:t>
      </w:r>
    </w:p>
    <w:p>
      <w:pPr>
        <w:pStyle w:val="ListBullet"/>
      </w:pPr>
      <w:r>
        <w:rPr>
          <w:b w:val="0"/>
          <w:i w:val="0"/>
        </w:rPr>
        <w:t>clinical decision support tools that give risk scores or alerts</w:t>
      </w:r>
    </w:p>
    <w:p>
      <w:pPr>
        <w:pStyle w:val="ListBullet"/>
      </w:pPr>
      <w:r>
        <w:rPr>
          <w:b w:val="0"/>
          <w:i w:val="0"/>
        </w:rPr>
        <w:t>all other chat assistants, notetakers, browser extensions, and AI agents</w:t>
      </w:r>
    </w:p>
    <w:p>
      <w:pPr>
        <w:pStyle w:val="Heading3"/>
      </w:pPr>
      <w:r>
        <w:t>2.3 Definitions</w:t>
      </w:r>
    </w:p>
    <w:p>
      <w:pPr>
        <w:pStyle w:val="ListBullet"/>
      </w:pPr>
      <w:r>
        <w:rPr>
          <w:b/>
          <w:i w:val="0"/>
        </w:rPr>
        <w:t>AI tool:</w:t>
      </w:r>
      <w:r>
        <w:rPr>
          <w:b w:val="0"/>
          <w:i w:val="0"/>
        </w:rPr>
        <w:t xml:space="preserve"> software that generates text, audio, images, code, scores, or decisions from an instruction (a "prompt") or from data.</w:t>
      </w:r>
    </w:p>
    <w:p>
      <w:pPr>
        <w:pStyle w:val="ListBullet"/>
      </w:pPr>
      <w:r>
        <w:rPr>
          <w:b/>
          <w:i w:val="0"/>
        </w:rPr>
        <w:t>Approved tool:</w:t>
      </w:r>
      <w:r>
        <w:rPr>
          <w:b w:val="0"/>
          <w:i w:val="0"/>
        </w:rPr>
        <w:t xml:space="preserve"> an AI tool with the status "Approved" or "Approved with conditions" in the Riverbend AI Tool Register.</w:t>
      </w:r>
    </w:p>
    <w:p>
      <w:pPr>
        <w:pStyle w:val="ListBullet"/>
      </w:pPr>
      <w:r>
        <w:rPr>
          <w:b/>
          <w:i w:val="0"/>
        </w:rPr>
        <w:t>PHI (protected health information):</w:t>
      </w:r>
      <w:r>
        <w:rPr>
          <w:b w:val="0"/>
          <w:i w:val="0"/>
        </w:rPr>
        <w:t xml:space="preserve"> any information that identifies a patient and relates to their health, their care, or their payment for care.</w:t>
      </w:r>
    </w:p>
    <w:p>
      <w:pPr>
        <w:pStyle w:val="ListBullet"/>
      </w:pPr>
      <w:r>
        <w:rPr>
          <w:b/>
          <w:i w:val="0"/>
        </w:rPr>
        <w:t>BAA (Business Associate Agreement):</w:t>
      </w:r>
      <w:r>
        <w:rPr>
          <w:b w:val="0"/>
          <w:i w:val="0"/>
        </w:rPr>
        <w:t xml:space="preserve"> the contract that HIPAA requires before a vendor can create, receive, keep, or send PHI for us.</w:t>
      </w:r>
    </w:p>
    <w:p>
      <w:pPr>
        <w:pStyle w:val="ListBullet"/>
      </w:pPr>
      <w:r>
        <w:rPr>
          <w:b/>
          <w:i w:val="0"/>
        </w:rPr>
        <w:t>Clinician:</w:t>
      </w:r>
      <w:r>
        <w:rPr>
          <w:b w:val="0"/>
          <w:i w:val="0"/>
        </w:rPr>
        <w:t xml:space="preserve"> a licensed physician, nurse practitioner, or physician assistant.</w:t>
      </w:r>
    </w:p>
    <w:p>
      <w:pPr>
        <w:pStyle w:val="Heading2"/>
      </w:pPr>
      <w:r>
        <w:t>3. Roles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Role</w:t>
            </w:r>
          </w:p>
        </w:tc>
        <w:tc>
          <w:tcPr>
            <w:tcW w:type="dxa" w:w="3120"/>
            <w:shd w:val="clear" w:fill="E8EEF4"/>
          </w:tcPr>
          <w:p>
            <w:r>
              <w:rPr>
                <w:b/>
                <w:i w:val="0"/>
              </w:rPr>
              <w:t>Who</w:t>
            </w:r>
          </w:p>
        </w:tc>
        <w:tc>
          <w:tcPr>
            <w:tcW w:type="dxa" w:w="3120"/>
            <w:shd w:val="clear" w:fill="E8EEF4"/>
          </w:tcPr>
          <w:p>
            <w:r>
              <w:rPr>
                <w:b/>
                <w:i w:val="0"/>
              </w:rPr>
              <w:t>Responsibilities</w:t>
            </w:r>
          </w:p>
        </w:tc>
      </w:tr>
      <w:tr>
        <w:tc>
          <w:tcPr>
            <w:tcW w:type="dxa" w:w="3120"/>
          </w:tcPr>
          <w:p>
            <w:r>
              <w:rPr>
                <w:b w:val="0"/>
                <w:i w:val="0"/>
              </w:rPr>
              <w:t>Policy owner</w:t>
            </w:r>
          </w:p>
        </w:tc>
        <w:tc>
          <w:tcPr>
            <w:tcW w:type="dxa" w:w="3120"/>
          </w:tcPr>
          <w:p>
            <w:r>
              <w:rPr>
                <w:b w:val="0"/>
                <w:i w:val="0"/>
              </w:rPr>
              <w:t>Chief Operating Officer</w:t>
            </w:r>
          </w:p>
        </w:tc>
        <w:tc>
          <w:tcPr>
            <w:tcW w:type="dxa" w:w="3120"/>
          </w:tcPr>
          <w:p>
            <w:r>
              <w:rPr>
                <w:b w:val="0"/>
                <w:i w:val="0"/>
              </w:rPr>
              <w:t>Keeps this policy current, answers questions, approves exceptions</w:t>
            </w:r>
          </w:p>
        </w:tc>
      </w:tr>
      <w:tr>
        <w:tc>
          <w:tcPr>
            <w:tcW w:type="dxa" w:w="3120"/>
          </w:tcPr>
          <w:p>
            <w:r>
              <w:rPr>
                <w:b w:val="0"/>
                <w:i w:val="0"/>
              </w:rPr>
              <w:t>AI Review Group</w:t>
            </w:r>
          </w:p>
        </w:tc>
        <w:tc>
          <w:tcPr>
            <w:tcW w:type="dxa" w:w="3120"/>
          </w:tcPr>
          <w:p>
            <w:r>
              <w:rPr>
                <w:b w:val="0"/>
                <w:i w:val="0"/>
              </w:rPr>
              <w:t>Chief Operating Officer, Privacy Officer, Security Officer, Medical Director</w:t>
            </w:r>
          </w:p>
        </w:tc>
        <w:tc>
          <w:tcPr>
            <w:tcW w:type="dxa" w:w="3120"/>
          </w:tcPr>
          <w:p>
            <w:r>
              <w:rPr>
                <w:b w:val="0"/>
                <w:i w:val="0"/>
              </w:rPr>
              <w:t>Approves new AI tools and new uses. Reviews AI incidents.</w:t>
            </w:r>
          </w:p>
        </w:tc>
      </w:tr>
      <w:tr>
        <w:tc>
          <w:tcPr>
            <w:tcW w:type="dxa" w:w="3120"/>
          </w:tcPr>
          <w:p>
            <w:r>
              <w:rPr>
                <w:b w:val="0"/>
                <w:i w:val="0"/>
              </w:rPr>
              <w:t>HIPAA Privacy Officer</w:t>
            </w:r>
          </w:p>
        </w:tc>
        <w:tc>
          <w:tcPr>
            <w:tcW w:type="dxa" w:w="3120"/>
          </w:tcPr>
          <w:p>
            <w:r>
              <w:rPr>
                <w:b w:val="0"/>
                <w:i w:val="0"/>
              </w:rPr>
              <w:t>Compliance Manager</w:t>
            </w:r>
          </w:p>
        </w:tc>
        <w:tc>
          <w:tcPr>
            <w:tcW w:type="dxa" w:w="3120"/>
          </w:tcPr>
          <w:p>
            <w:r>
              <w:rPr>
                <w:b w:val="0"/>
                <w:i w:val="0"/>
              </w:rPr>
              <w:t>Makes sure that a BAA exists before any PHI goes to a vendor. Leads breach assessments.</w:t>
            </w:r>
          </w:p>
        </w:tc>
      </w:tr>
      <w:tr>
        <w:tc>
          <w:tcPr>
            <w:tcW w:type="dxa" w:w="3120"/>
          </w:tcPr>
          <w:p>
            <w:r>
              <w:rPr>
                <w:b w:val="0"/>
                <w:i w:val="0"/>
              </w:rPr>
              <w:t>HIPAA Security Officer</w:t>
            </w:r>
          </w:p>
        </w:tc>
        <w:tc>
          <w:tcPr>
            <w:tcW w:type="dxa" w:w="3120"/>
          </w:tcPr>
          <w:p>
            <w:r>
              <w:rPr>
                <w:b w:val="0"/>
                <w:i w:val="0"/>
              </w:rPr>
              <w:t>IT Manager</w:t>
            </w:r>
          </w:p>
        </w:tc>
        <w:tc>
          <w:tcPr>
            <w:tcW w:type="dxa" w:w="3120"/>
          </w:tcPr>
          <w:p>
            <w:r>
              <w:rPr>
                <w:b w:val="0"/>
                <w:i w:val="0"/>
              </w:rPr>
              <w:t>Sets up AI tools, controls access, keeps logs</w:t>
            </w:r>
          </w:p>
        </w:tc>
      </w:tr>
      <w:tr>
        <w:tc>
          <w:tcPr>
            <w:tcW w:type="dxa" w:w="3120"/>
          </w:tcPr>
          <w:p>
            <w:r>
              <w:rPr>
                <w:b w:val="0"/>
                <w:i w:val="0"/>
              </w:rPr>
              <w:t>Medical Director</w:t>
            </w:r>
          </w:p>
        </w:tc>
        <w:tc>
          <w:tcPr>
            <w:tcW w:type="dxa" w:w="3120"/>
          </w:tcPr>
          <w:p>
            <w:r>
              <w:rPr>
                <w:b w:val="0"/>
                <w:i w:val="0"/>
              </w:rPr>
              <w:t>Lead physician</w:t>
            </w:r>
          </w:p>
        </w:tc>
        <w:tc>
          <w:tcPr>
            <w:tcW w:type="dxa" w:w="3120"/>
          </w:tcPr>
          <w:p>
            <w:r>
              <w:rPr>
                <w:b w:val="0"/>
                <w:i w:val="0"/>
              </w:rPr>
              <w:t>Owns the clinical safety of AI tools. Approves clinical uses and review rules.</w:t>
            </w:r>
          </w:p>
        </w:tc>
      </w:tr>
      <w:tr>
        <w:tc>
          <w:tcPr>
            <w:tcW w:type="dxa" w:w="3120"/>
          </w:tcPr>
          <w:p>
            <w:r>
              <w:rPr>
                <w:b w:val="0"/>
                <w:i w:val="0"/>
              </w:rPr>
              <w:t>Clinic managers</w:t>
            </w:r>
          </w:p>
        </w:tc>
        <w:tc>
          <w:tcPr>
            <w:tcW w:type="dxa" w:w="3120"/>
          </w:tcPr>
          <w:p>
            <w:r>
              <w:rPr>
                <w:b w:val="0"/>
                <w:i w:val="0"/>
              </w:rPr>
              <w:t>One for each clinic</w:t>
            </w:r>
          </w:p>
        </w:tc>
        <w:tc>
          <w:tcPr>
            <w:tcW w:type="dxa" w:w="3120"/>
          </w:tcPr>
          <w:p>
            <w:r>
              <w:rPr>
                <w:b w:val="0"/>
                <w:i w:val="0"/>
              </w:rPr>
              <w:t>Make sure that their teams know and follow this policy</w:t>
            </w:r>
          </w:p>
        </w:tc>
      </w:tr>
      <w:tr>
        <w:tc>
          <w:tcPr>
            <w:tcW w:type="dxa" w:w="3120"/>
          </w:tcPr>
          <w:p>
            <w:r>
              <w:rPr>
                <w:b w:val="0"/>
                <w:i w:val="0"/>
              </w:rPr>
              <w:t>Workforce</w:t>
            </w:r>
          </w:p>
        </w:tc>
        <w:tc>
          <w:tcPr>
            <w:tcW w:type="dxa" w:w="3120"/>
          </w:tcPr>
          <w:p>
            <w:r>
              <w:rPr>
                <w:b w:val="0"/>
                <w:i w:val="0"/>
              </w:rPr>
              <w:t>Everyone in scope</w:t>
            </w:r>
          </w:p>
        </w:tc>
        <w:tc>
          <w:tcPr>
            <w:tcW w:type="dxa" w:w="3120"/>
          </w:tcPr>
          <w:p>
            <w:r>
              <w:rPr>
                <w:b w:val="0"/>
                <w:i w:val="0"/>
              </w:rPr>
              <w:t>Follow this policy and report problems</w:t>
            </w:r>
          </w:p>
        </w:tc>
      </w:tr>
    </w:tbl>
    <w:p/>
    <w:p>
      <w:pPr>
        <w:pStyle w:val="Heading2"/>
      </w:pPr>
      <w:r>
        <w:t>4. Approved tools and new requests</w:t>
      </w:r>
    </w:p>
    <w:p>
      <w:pPr>
        <w:ind w:left="504" w:hanging="360"/>
      </w:pPr>
      <w:r>
        <w:t xml:space="preserve">1.  </w:t>
      </w:r>
      <w:r>
        <w:rPr>
          <w:b w:val="0"/>
          <w:i w:val="0"/>
        </w:rPr>
        <w:t>Use only approved tools for Riverbend work. The list is in the AI Tool Register on the staff intranet.</w:t>
      </w:r>
    </w:p>
    <w:p>
      <w:pPr>
        <w:ind w:left="504" w:hanging="360"/>
      </w:pPr>
      <w:r>
        <w:t xml:space="preserve">2.  </w:t>
      </w:r>
      <w:r>
        <w:rPr>
          <w:b w:val="0"/>
          <w:i w:val="0"/>
        </w:rPr>
        <w:t>Use your Riverbend account for each tool. Never use a personal account or a free AI tool for Riverbend work.</w:t>
      </w:r>
    </w:p>
    <w:p>
      <w:pPr>
        <w:ind w:left="504" w:hanging="360"/>
      </w:pPr>
      <w:r>
        <w:t xml:space="preserve">3.  </w:t>
      </w:r>
      <w:r>
        <w:rPr>
          <w:b w:val="0"/>
          <w:i w:val="0"/>
        </w:rPr>
        <w:t>To request a new tool or a new use, send the AI request form to the AI Review Group. Say what you want to do and what data the tool will see.</w:t>
      </w:r>
    </w:p>
    <w:p>
      <w:pPr>
        <w:ind w:left="504" w:hanging="360"/>
      </w:pPr>
      <w:r>
        <w:t xml:space="preserve">4.  </w:t>
      </w:r>
      <w:r>
        <w:rPr>
          <w:b w:val="0"/>
          <w:i w:val="0"/>
        </w:rPr>
        <w:t>The AI Review Group decides within 5 business days. Clinical uses can take longer, because the Medical Director must review them.</w:t>
      </w:r>
    </w:p>
    <w:p>
      <w:pPr>
        <w:ind w:left="504" w:hanging="360"/>
      </w:pPr>
      <w:r>
        <w:t xml:space="preserve">5.  </w:t>
      </w:r>
      <w:r>
        <w:rPr>
          <w:b w:val="0"/>
          <w:i w:val="0"/>
        </w:rPr>
        <w:t>Before we approve a tool, we review the vendor. We check its BAA, its data use, its security, and its clinical evidence.</w:t>
      </w:r>
    </w:p>
    <w:p>
      <w:pPr>
        <w:ind w:left="504" w:hanging="360"/>
      </w:pPr>
      <w:r>
        <w:t xml:space="preserve">6.  </w:t>
      </w:r>
      <w:r>
        <w:rPr>
          <w:b w:val="0"/>
          <w:i w:val="0"/>
        </w:rPr>
        <w:t>A new AI feature in software that we already use counts as a new tool. Do not turn it on until the AI Review Group approves it.</w:t>
      </w:r>
    </w:p>
    <w:p>
      <w:pPr>
        <w:pStyle w:val="Heading2"/>
      </w:pPr>
      <w:r>
        <w:t>5. Data rules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Tier</w:t>
            </w:r>
          </w:p>
        </w:tc>
        <w:tc>
          <w:tcPr>
            <w:tcW w:type="dxa" w:w="3120"/>
            <w:shd w:val="clear" w:fill="E8EEF4"/>
          </w:tcPr>
          <w:p>
            <w:r>
              <w:rPr>
                <w:b/>
                <w:i w:val="0"/>
              </w:rPr>
              <w:t>Examples</w:t>
            </w:r>
          </w:p>
        </w:tc>
        <w:tc>
          <w:tcPr>
            <w:tcW w:type="dxa" w:w="3120"/>
            <w:shd w:val="clear" w:fill="E8EEF4"/>
          </w:tcPr>
          <w:p>
            <w:r>
              <w:rPr>
                <w:b/>
                <w:i w:val="0"/>
              </w:rPr>
              <w:t>Tools you can use</w:t>
            </w:r>
          </w:p>
        </w:tc>
      </w:tr>
      <w:tr>
        <w:tc>
          <w:tcPr>
            <w:tcW w:type="dxa" w:w="3120"/>
          </w:tcPr>
          <w:p>
            <w:r>
              <w:rPr>
                <w:b/>
                <w:i w:val="0"/>
              </w:rPr>
              <w:t>Public</w:t>
            </w:r>
          </w:p>
        </w:tc>
        <w:tc>
          <w:tcPr>
            <w:tcW w:type="dxa" w:w="3120"/>
          </w:tcPr>
          <w:p>
            <w:r>
              <w:rPr>
                <w:b w:val="0"/>
                <w:i w:val="0"/>
              </w:rPr>
              <w:t>Our website, published patient-education handouts, public health guidance</w:t>
            </w:r>
          </w:p>
        </w:tc>
        <w:tc>
          <w:tcPr>
            <w:tcW w:type="dxa" w:w="3120"/>
          </w:tcPr>
          <w:p>
            <w:r>
              <w:rPr>
                <w:b w:val="0"/>
                <w:i w:val="0"/>
              </w:rPr>
              <w:t>Any approved tool</w:t>
            </w:r>
          </w:p>
        </w:tc>
      </w:tr>
      <w:tr>
        <w:tc>
          <w:tcPr>
            <w:tcW w:type="dxa" w:w="3120"/>
          </w:tcPr>
          <w:p>
            <w:r>
              <w:rPr>
                <w:b/>
                <w:i w:val="0"/>
              </w:rPr>
              <w:t>Internal</w:t>
            </w:r>
          </w:p>
        </w:tc>
        <w:tc>
          <w:tcPr>
            <w:tcW w:type="dxa" w:w="3120"/>
          </w:tcPr>
          <w:p>
            <w:r>
              <w:rPr>
                <w:b w:val="0"/>
                <w:i w:val="0"/>
              </w:rPr>
              <w:t>Policies, staff schedules, supply orders, and internal emails that have no PHI</w:t>
            </w:r>
          </w:p>
        </w:tc>
        <w:tc>
          <w:tcPr>
            <w:tcW w:type="dxa" w:w="3120"/>
          </w:tcPr>
          <w:p>
            <w:r>
              <w:rPr>
                <w:b w:val="0"/>
                <w:i w:val="0"/>
              </w:rPr>
              <w:t>Approved tools that have a business contract that does not let the vendor train its AI on our data</w:t>
            </w:r>
          </w:p>
        </w:tc>
      </w:tr>
      <w:tr>
        <w:tc>
          <w:tcPr>
            <w:tcW w:type="dxa" w:w="3120"/>
          </w:tcPr>
          <w:p>
            <w:r>
              <w:rPr>
                <w:b/>
                <w:i w:val="0"/>
              </w:rPr>
              <w:t>Restricted</w:t>
            </w:r>
          </w:p>
        </w:tc>
        <w:tc>
          <w:tcPr>
            <w:tcW w:type="dxa" w:w="3120"/>
          </w:tcPr>
          <w:p>
            <w:r>
              <w:rPr>
                <w:b w:val="0"/>
                <w:i w:val="0"/>
              </w:rPr>
              <w:t>All PHI, including notes, test results, images, insurance data, and appointment details. Also staff personal data, payment card data, passwords, and other secrets.</w:t>
            </w:r>
          </w:p>
        </w:tc>
        <w:tc>
          <w:tcPr>
            <w:tcW w:type="dxa" w:w="3120"/>
          </w:tcPr>
          <w:p>
            <w:r>
              <w:rPr>
                <w:b/>
                <w:i w:val="0"/>
              </w:rPr>
              <w:t>PHI:</w:t>
            </w:r>
            <w:r>
              <w:rPr>
                <w:b w:val="0"/>
                <w:i w:val="0"/>
              </w:rPr>
              <w:t xml:space="preserve"> only tools with a signed BAA that the AI Tool Register approves for PHI. </w:t>
            </w:r>
            <w:r>
              <w:rPr>
                <w:b/>
                <w:i w:val="0"/>
              </w:rPr>
              <w:t>Passwords and other secrets:</w:t>
            </w:r>
            <w:r>
              <w:rPr>
                <w:b w:val="0"/>
                <w:i w:val="0"/>
              </w:rPr>
              <w:t xml:space="preserve"> never, in any AI tool.</w:t>
            </w:r>
          </w:p>
        </w:tc>
      </w:tr>
    </w:tbl>
    <w:p/>
    <w:p>
      <w:r>
        <w:rPr>
          <w:b w:val="0"/>
          <w:i w:val="0"/>
        </w:rPr>
        <w:t>Also follow these rules:</w:t>
      </w:r>
    </w:p>
    <w:p>
      <w:pPr>
        <w:pStyle w:val="ListBullet"/>
      </w:pPr>
      <w:r>
        <w:rPr>
          <w:b w:val="0"/>
          <w:i w:val="0"/>
        </w:rPr>
        <w:t>If you do not know the tier, treat the data as Restricted.</w:t>
      </w:r>
    </w:p>
    <w:p>
      <w:pPr>
        <w:pStyle w:val="ListBullet"/>
      </w:pPr>
      <w:r>
        <w:rPr>
          <w:b w:val="0"/>
          <w:i w:val="0"/>
        </w:rPr>
        <w:t>Use the minimum PHI that the task needs. HIPAA calls this the "minimum necessary" standard.</w:t>
      </w:r>
    </w:p>
    <w:p>
      <w:pPr>
        <w:pStyle w:val="ListBullet"/>
      </w:pPr>
      <w:r>
        <w:rPr>
          <w:b w:val="0"/>
          <w:i w:val="0"/>
        </w:rPr>
        <w:t>Never copy PHI into a tool that is not approved for PHI, even to "remove the names later".</w:t>
      </w:r>
    </w:p>
    <w:p>
      <w:pPr>
        <w:pStyle w:val="Heading2"/>
      </w:pPr>
      <w:r>
        <w:t>6. AI in patient care</w:t>
      </w:r>
    </w:p>
    <w:p>
      <w:pPr>
        <w:ind w:left="504" w:hanging="360"/>
      </w:pPr>
      <w:r>
        <w:t xml:space="preserve">1.  </w:t>
      </w:r>
      <w:r>
        <w:rPr>
          <w:b w:val="0"/>
          <w:i w:val="0"/>
        </w:rPr>
        <w:t>AI tools support clinicians. They do not diagnose patients or decide treatment. A clinician makes every clinical decision.</w:t>
      </w:r>
    </w:p>
    <w:p>
      <w:pPr>
        <w:ind w:left="504" w:hanging="360"/>
      </w:pPr>
      <w:r>
        <w:t xml:space="preserve">2.  </w:t>
      </w:r>
      <w:r>
        <w:rPr>
          <w:b w:val="0"/>
          <w:i w:val="0"/>
        </w:rPr>
        <w:t>Read every note that the AI scribe drafts before you sign it. Check all medications, doses, allergies, diagnoses, and plans.</w:t>
      </w:r>
    </w:p>
    <w:p>
      <w:pPr>
        <w:ind w:left="504" w:hanging="360"/>
      </w:pPr>
      <w:r>
        <w:t xml:space="preserve">3.  </w:t>
      </w:r>
      <w:r>
        <w:rPr>
          <w:b w:val="0"/>
          <w:i w:val="0"/>
        </w:rPr>
        <w:t>Delete anything that the patient did not say or that did not happen. AI scribes can invent details.</w:t>
      </w:r>
    </w:p>
    <w:p>
      <w:pPr>
        <w:ind w:left="504" w:hanging="360"/>
      </w:pPr>
      <w:r>
        <w:t xml:space="preserve">4.  </w:t>
      </w:r>
      <w:r>
        <w:rPr>
          <w:b w:val="0"/>
          <w:i w:val="0"/>
        </w:rPr>
        <w:t>Do not sign a note that you did not review. Your signature means that you checked it.</w:t>
      </w:r>
    </w:p>
    <w:p>
      <w:pPr>
        <w:ind w:left="504" w:hanging="360"/>
      </w:pPr>
      <w:r>
        <w:t xml:space="preserve">5.  </w:t>
      </w:r>
      <w:r>
        <w:rPr>
          <w:b w:val="0"/>
          <w:i w:val="0"/>
        </w:rPr>
        <w:t>Treat risk scores and alerts from decision support tools as one input to your judgment. Report results that look wrong or unfair for a group of patients.</w:t>
      </w:r>
    </w:p>
    <w:p>
      <w:pPr>
        <w:ind w:left="504" w:hanging="360"/>
      </w:pPr>
      <w:r>
        <w:t xml:space="preserve">6.  </w:t>
      </w:r>
      <w:r>
        <w:rPr>
          <w:b w:val="0"/>
          <w:i w:val="0"/>
        </w:rPr>
        <w:t>Every year, the Medical Director reviews our decision support tools for the risk of discrimination against patient groups.</w:t>
      </w:r>
    </w:p>
    <w:p>
      <w:pPr>
        <w:pStyle w:val="Heading2"/>
      </w:pPr>
      <w:r>
        <w:t>7. AI scribe and patient consent</w:t>
      </w:r>
    </w:p>
    <w:p>
      <w:pPr>
        <w:ind w:left="504" w:hanging="360"/>
      </w:pPr>
      <w:r>
        <w:t xml:space="preserve">1.  </w:t>
      </w:r>
      <w:r>
        <w:rPr>
          <w:b w:val="0"/>
          <w:i w:val="0"/>
        </w:rPr>
        <w:t>Before you start the AI scribe, tell the patient about it and ask for their consent. Use the script on the consent card.</w:t>
      </w:r>
    </w:p>
    <w:p>
      <w:pPr>
        <w:ind w:left="504" w:hanging="360"/>
      </w:pPr>
      <w:r>
        <w:t xml:space="preserve">2.  </w:t>
      </w:r>
      <w:r>
        <w:rPr>
          <w:b w:val="0"/>
          <w:i w:val="0"/>
        </w:rPr>
        <w:t>Record the patient's answer in the chart.</w:t>
      </w:r>
    </w:p>
    <w:p>
      <w:pPr>
        <w:ind w:left="504" w:hanging="360"/>
      </w:pPr>
      <w:r>
        <w:t xml:space="preserve">3.  </w:t>
      </w:r>
      <w:r>
        <w:rPr>
          <w:b w:val="0"/>
          <w:i w:val="0"/>
        </w:rPr>
        <w:t>If the patient says no, do not record. The care that the patient receives must not change.</w:t>
      </w:r>
    </w:p>
    <w:p>
      <w:pPr>
        <w:ind w:left="504" w:hanging="360"/>
      </w:pPr>
      <w:r>
        <w:t xml:space="preserve">4.  </w:t>
      </w:r>
      <w:r>
        <w:rPr>
          <w:b w:val="0"/>
          <w:i w:val="0"/>
        </w:rPr>
        <w:t>If the patient asks you to stop during the visit, stop the recording immediately.</w:t>
      </w:r>
    </w:p>
    <w:p>
      <w:pPr>
        <w:ind w:left="504" w:hanging="360"/>
      </w:pPr>
      <w:r>
        <w:t xml:space="preserve">5.  </w:t>
      </w:r>
      <w:r>
        <w:rPr>
          <w:b/>
          <w:i w:val="0"/>
        </w:rPr>
        <w:t>In our California clinics,</w:t>
      </w:r>
      <w:r>
        <w:rPr>
          <w:b w:val="0"/>
          <w:i w:val="0"/>
        </w:rPr>
        <w:t xml:space="preserve"> get consent from every person in the room, for example a parent or an interpreter. California law requires the consent of all parties to a confidential conversation.</w:t>
      </w:r>
    </w:p>
    <w:p>
      <w:pPr>
        <w:ind w:left="504" w:hanging="360"/>
      </w:pPr>
      <w:r>
        <w:t xml:space="preserve">6.  </w:t>
      </w:r>
      <w:r>
        <w:rPr>
          <w:b/>
          <w:i w:val="0"/>
        </w:rPr>
        <w:t>In our Texas clinics,</w:t>
      </w:r>
      <w:r>
        <w:rPr>
          <w:b w:val="0"/>
          <w:i w:val="0"/>
        </w:rPr>
        <w:t xml:space="preserve"> follow the same steps. Riverbend uses one standard in all clinics.</w:t>
      </w:r>
    </w:p>
    <w:p>
      <w:pPr>
        <w:pStyle w:val="Heading2"/>
      </w:pPr>
      <w:r>
        <w:t>8. Telling patients about AI</w:t>
      </w:r>
    </w:p>
    <w:p>
      <w:pPr>
        <w:ind w:left="504" w:hanging="360"/>
      </w:pPr>
      <w:r>
        <w:t xml:space="preserve">1.  </w:t>
      </w:r>
      <w:r>
        <w:rPr>
          <w:b w:val="0"/>
          <w:i w:val="0"/>
        </w:rPr>
        <w:t>Tell every patient, in plain language, that Riverbend uses AI tools in their care. Do this no later than the date of service. The intake form and our website have the standard notice.</w:t>
      </w:r>
    </w:p>
    <w:p>
      <w:pPr>
        <w:ind w:left="504" w:hanging="360"/>
      </w:pPr>
      <w:r>
        <w:t xml:space="preserve">2.  </w:t>
      </w:r>
      <w:r>
        <w:rPr>
          <w:b w:val="0"/>
          <w:i w:val="0"/>
        </w:rPr>
        <w:t>A clinician must read and review every AI-drafted portal message about clinical information before you send it.</w:t>
      </w:r>
    </w:p>
    <w:p>
      <w:pPr>
        <w:ind w:left="504" w:hanging="360"/>
      </w:pPr>
      <w:r>
        <w:t xml:space="preserve">3.  </w:t>
      </w:r>
      <w:r>
        <w:rPr>
          <w:b w:val="0"/>
          <w:i w:val="0"/>
        </w:rPr>
        <w:t>If AI generates a message and no clinician reviews it, the message must not contain clinical information. Add this line: "This message was generated by AI. To speak with a person, call [clinic phone number]."</w:t>
      </w:r>
    </w:p>
    <w:p>
      <w:pPr>
        <w:ind w:left="504" w:hanging="360"/>
      </w:pPr>
      <w:r>
        <w:t xml:space="preserve">4.  </w:t>
      </w:r>
      <w:r>
        <w:rPr>
          <w:b w:val="0"/>
          <w:i w:val="0"/>
        </w:rPr>
        <w:t>Our AI scheduling assistant tells callers and website visitors that it is AI. It handles scheduling, directions, and general questions only. It never gives medical advice.</w:t>
      </w:r>
    </w:p>
    <w:p>
      <w:pPr>
        <w:ind w:left="504" w:hanging="360"/>
      </w:pPr>
      <w:r>
        <w:t xml:space="preserve">5.  </w:t>
      </w:r>
      <w:r>
        <w:rPr>
          <w:b w:val="0"/>
          <w:i w:val="0"/>
        </w:rPr>
        <w:t>The scheduling assistant gives every caller a way to reach a person. For a possible emergency, it tells the caller to call 911.</w:t>
      </w:r>
    </w:p>
    <w:p>
      <w:pPr>
        <w:pStyle w:val="Heading2"/>
      </w:pPr>
      <w:r>
        <w:t>9. Prohibited uses</w:t>
      </w:r>
    </w:p>
    <w:p>
      <w:r>
        <w:rPr>
          <w:b w:val="0"/>
          <w:i w:val="0"/>
        </w:rPr>
        <w:t>Do not use any AI tool to:</w:t>
      </w:r>
    </w:p>
    <w:p>
      <w:pPr>
        <w:pStyle w:val="ListBullet"/>
      </w:pPr>
      <w:r>
        <w:rPr>
          <w:b w:val="0"/>
          <w:i w:val="0"/>
        </w:rPr>
        <w:t>enter PHI into a tool without a signed BAA and approval for PHI</w:t>
      </w:r>
    </w:p>
    <w:p>
      <w:pPr>
        <w:pStyle w:val="ListBullet"/>
      </w:pPr>
      <w:r>
        <w:rPr>
          <w:b w:val="0"/>
          <w:i w:val="0"/>
        </w:rPr>
        <w:t>diagnose a patient, choose treatment, or deny or delay care without a clinician's decision</w:t>
      </w:r>
    </w:p>
    <w:p>
      <w:pPr>
        <w:pStyle w:val="ListBullet"/>
      </w:pPr>
      <w:r>
        <w:rPr>
          <w:b w:val="0"/>
          <w:i w:val="0"/>
        </w:rPr>
        <w:t>send medical advice to a patient that a clinician did not review</w:t>
      </w:r>
    </w:p>
    <w:p>
      <w:pPr>
        <w:pStyle w:val="ListBullet"/>
      </w:pPr>
      <w:r>
        <w:rPr>
          <w:b w:val="0"/>
          <w:i w:val="0"/>
        </w:rPr>
        <w:t>record a patient, a visitor, or a colleague without consent</w:t>
      </w:r>
    </w:p>
    <w:p>
      <w:pPr>
        <w:pStyle w:val="ListBullet"/>
      </w:pPr>
      <w:r>
        <w:rPr>
          <w:b w:val="0"/>
          <w:i w:val="0"/>
        </w:rPr>
        <w:t>make a final decision about an employee or a job applicant, for example hiring, discipline, or pay</w:t>
      </w:r>
    </w:p>
    <w:p>
      <w:pPr>
        <w:pStyle w:val="ListBullet"/>
      </w:pPr>
      <w:r>
        <w:rPr>
          <w:b w:val="0"/>
          <w:i w:val="0"/>
        </w:rPr>
        <w:t>create false or misleading content, including fake reviews or misleading health claims</w:t>
      </w:r>
    </w:p>
    <w:p>
      <w:pPr>
        <w:pStyle w:val="ListBullet"/>
      </w:pPr>
      <w:r>
        <w:rPr>
          <w:b w:val="0"/>
          <w:i w:val="0"/>
        </w:rPr>
        <w:t>avoid security controls or look at records that you do not need for your job</w:t>
      </w:r>
    </w:p>
    <w:p>
      <w:pPr>
        <w:pStyle w:val="Heading2"/>
      </w:pPr>
      <w:r>
        <w:t>10. Agents, connections, and code</w:t>
      </w:r>
    </w:p>
    <w:p>
      <w:pPr>
        <w:ind w:left="504" w:hanging="360"/>
      </w:pPr>
      <w:r>
        <w:t xml:space="preserve">1.  </w:t>
      </w:r>
      <w:r>
        <w:rPr>
          <w:b w:val="0"/>
          <w:i w:val="0"/>
        </w:rPr>
        <w:t>Do not connect an AI tool to the EHR, email, file storage, or billing systems without approval from the Security Officer.</w:t>
      </w:r>
    </w:p>
    <w:p>
      <w:pPr>
        <w:ind w:left="504" w:hanging="360"/>
      </w:pPr>
      <w:r>
        <w:t xml:space="preserve">2.  </w:t>
      </w:r>
      <w:r>
        <w:rPr>
          <w:b w:val="0"/>
          <w:i w:val="0"/>
        </w:rPr>
        <w:t>Give each AI tool the minimum access that it needs. Use read-only access when possible.</w:t>
      </w:r>
    </w:p>
    <w:p>
      <w:pPr>
        <w:ind w:left="504" w:hanging="360"/>
      </w:pPr>
      <w:r>
        <w:t xml:space="preserve">3.  </w:t>
      </w:r>
      <w:r>
        <w:rPr>
          <w:b w:val="0"/>
          <w:i w:val="0"/>
        </w:rPr>
        <w:t>A person must approve each AI action that is difficult to reverse, for example sending messages to patients, submitting claims, or changing records.</w:t>
      </w:r>
    </w:p>
    <w:p>
      <w:pPr>
        <w:ind w:left="504" w:hanging="360"/>
      </w:pPr>
      <w:r>
        <w:t xml:space="preserve">4.  </w:t>
      </w:r>
      <w:r>
        <w:rPr>
          <w:b w:val="0"/>
          <w:i w:val="0"/>
        </w:rPr>
        <w:t>Each AI tool that connects to our systems has a named owner who can stop it immediately.</w:t>
      </w:r>
    </w:p>
    <w:p>
      <w:pPr>
        <w:ind w:left="504" w:hanging="360"/>
      </w:pPr>
      <w:r>
        <w:t xml:space="preserve">5.  </w:t>
      </w:r>
      <w:r>
        <w:rPr>
          <w:b w:val="0"/>
          <w:i w:val="0"/>
        </w:rPr>
        <w:t>Do not install AI browser extensions or AI browsers. They can read PHI on your screen.</w:t>
      </w:r>
    </w:p>
    <w:p>
      <w:pPr>
        <w:pStyle w:val="Heading2"/>
      </w:pPr>
      <w:r>
        <w:t>11. Training</w:t>
      </w:r>
    </w:p>
    <w:p>
      <w:pPr>
        <w:ind w:left="504" w:hanging="360"/>
      </w:pPr>
      <w:r>
        <w:t xml:space="preserve">1.  </w:t>
      </w:r>
      <w:r>
        <w:rPr>
          <w:b w:val="0"/>
          <w:i w:val="0"/>
        </w:rPr>
        <w:t>Complete the AI training before you get access to any AI tool. Complete a refresher every 12 months.</w:t>
      </w:r>
    </w:p>
    <w:p>
      <w:pPr>
        <w:ind w:left="504" w:hanging="360"/>
      </w:pPr>
      <w:r>
        <w:t xml:space="preserve">2.  </w:t>
      </w:r>
      <w:r>
        <w:rPr>
          <w:b w:val="0"/>
          <w:i w:val="0"/>
        </w:rPr>
        <w:t>Clinicians who use the AI scribe also complete the scribe review training. It shows common scribe errors and how to find them.</w:t>
      </w:r>
    </w:p>
    <w:p>
      <w:pPr>
        <w:ind w:left="504" w:hanging="360"/>
      </w:pPr>
      <w:r>
        <w:t xml:space="preserve">3.  </w:t>
      </w:r>
      <w:r>
        <w:rPr>
          <w:b w:val="0"/>
          <w:i w:val="0"/>
        </w:rPr>
        <w:t>The Compliance Manager keeps the training records.</w:t>
      </w:r>
    </w:p>
    <w:p>
      <w:pPr>
        <w:pStyle w:val="Heading2"/>
      </w:pPr>
      <w:r>
        <w:t>12. Report problems</w:t>
      </w:r>
    </w:p>
    <w:p>
      <w:r>
        <w:rPr>
          <w:b w:val="0"/>
          <w:i w:val="0"/>
        </w:rPr>
        <w:t>Report immediately if:</w:t>
      </w:r>
    </w:p>
    <w:tbl>
      <w:tblPr>
        <w:tblStyle w:val="TableGrid"/>
        <w:tblW w:type="auto" w:w="0"/>
        <w:tblLook w:firstColumn="1" w:firstRow="1" w:lastColumn="0" w:lastRow="0" w:noHBand="0" w:noVBand="1" w:val="04A0"/>
      </w:tblPr>
      <w:tblGrid>
        <w:gridCol w:w="4680"/>
        <w:gridCol w:w="4680"/>
      </w:tblGrid>
      <w:tr>
        <w:tc>
          <w:tcPr>
            <w:tcW w:type="dxa" w:w="4680"/>
            <w:shd w:val="clear" w:fill="E8EEF4"/>
          </w:tcPr>
          <w:p>
            <w:r>
              <w:rPr>
                <w:b/>
                <w:i w:val="0"/>
              </w:rPr>
              <w:t>Problem</w:t>
            </w:r>
          </w:p>
        </w:tc>
        <w:tc>
          <w:tcPr>
            <w:tcW w:type="dxa" w:w="4680"/>
            <w:shd w:val="clear" w:fill="E8EEF4"/>
          </w:tcPr>
          <w:p>
            <w:r>
              <w:rPr>
                <w:b/>
                <w:i w:val="0"/>
              </w:rPr>
              <w:t>Report to</w:t>
            </w:r>
          </w:p>
        </w:tc>
      </w:tr>
      <w:tr>
        <w:tc>
          <w:tcPr>
            <w:tcW w:type="dxa" w:w="4680"/>
          </w:tcPr>
          <w:p>
            <w:r>
              <w:rPr>
                <w:b w:val="0"/>
                <w:i w:val="0"/>
              </w:rPr>
              <w:t>PHI went into a tool that is not approved for PHI</w:t>
            </w:r>
          </w:p>
        </w:tc>
        <w:tc>
          <w:tcPr>
            <w:tcW w:type="dxa" w:w="4680"/>
          </w:tcPr>
          <w:p>
            <w:r>
              <w:rPr>
                <w:b w:val="0"/>
                <w:i w:val="0"/>
              </w:rPr>
              <w:t>Privacy Officer, at once. The time limits for breach notice start when we discover the problem.</w:t>
            </w:r>
          </w:p>
        </w:tc>
      </w:tr>
      <w:tr>
        <w:tc>
          <w:tcPr>
            <w:tcW w:type="dxa" w:w="4680"/>
          </w:tcPr>
          <w:p>
            <w:r>
              <w:rPr>
                <w:b w:val="0"/>
                <w:i w:val="0"/>
              </w:rPr>
              <w:t>An AI error reached a patient record or a patient, or almost did. Example: a wrong medication in a signed note</w:t>
            </w:r>
          </w:p>
        </w:tc>
        <w:tc>
          <w:tcPr>
            <w:tcW w:type="dxa" w:w="4680"/>
          </w:tcPr>
          <w:p>
            <w:r>
              <w:rPr>
                <w:b w:val="0"/>
                <w:i w:val="0"/>
              </w:rPr>
              <w:t>The patient-safety reporting system and the Medical Director</w:t>
            </w:r>
          </w:p>
        </w:tc>
      </w:tr>
      <w:tr>
        <w:tc>
          <w:tcPr>
            <w:tcW w:type="dxa" w:w="4680"/>
          </w:tcPr>
          <w:p>
            <w:r>
              <w:rPr>
                <w:b w:val="0"/>
                <w:i w:val="0"/>
              </w:rPr>
              <w:t>An AI tool acted in an unexpected or unsafe way</w:t>
            </w:r>
          </w:p>
        </w:tc>
        <w:tc>
          <w:tcPr>
            <w:tcW w:type="dxa" w:w="4680"/>
          </w:tcPr>
          <w:p>
            <w:r>
              <w:rPr>
                <w:b w:val="0"/>
                <w:i w:val="0"/>
              </w:rPr>
              <w:t>Security Officer</w:t>
            </w:r>
          </w:p>
        </w:tc>
      </w:tr>
      <w:tr>
        <w:tc>
          <w:tcPr>
            <w:tcW w:type="dxa" w:w="4680"/>
          </w:tcPr>
          <w:p>
            <w:r>
              <w:rPr>
                <w:b w:val="0"/>
                <w:i w:val="0"/>
              </w:rPr>
              <w:t>A possible deepfake, for example an urgent voice message that asks for a payment or for patient data</w:t>
            </w:r>
          </w:p>
        </w:tc>
        <w:tc>
          <w:tcPr>
            <w:tcW w:type="dxa" w:w="4680"/>
          </w:tcPr>
          <w:p>
            <w:r>
              <w:rPr>
                <w:b w:val="0"/>
                <w:i w:val="0"/>
              </w:rPr>
              <w:t>Security Officer</w:t>
            </w:r>
          </w:p>
        </w:tc>
      </w:tr>
    </w:tbl>
    <w:p/>
    <w:p>
      <w:r>
        <w:rPr>
          <w:b w:val="0"/>
          <w:i w:val="0"/>
        </w:rPr>
        <w:t>Report even if you are not sure. We do not punish good-faith reports of mistakes. The AI incident-response playbook explains what happens next.</w:t>
      </w:r>
    </w:p>
    <w:p>
      <w:pPr>
        <w:pStyle w:val="Heading2"/>
      </w:pPr>
      <w:r>
        <w:t>13. Exceptions, enforcement, and review</w:t>
      </w:r>
    </w:p>
    <w:p>
      <w:pPr>
        <w:ind w:left="504" w:hanging="360"/>
      </w:pPr>
      <w:r>
        <w:t xml:space="preserve">1.  </w:t>
      </w:r>
      <w:r>
        <w:rPr>
          <w:b/>
          <w:i w:val="0"/>
        </w:rPr>
        <w:t>Exceptions:</w:t>
      </w:r>
      <w:r>
        <w:rPr>
          <w:b w:val="0"/>
          <w:i w:val="0"/>
        </w:rPr>
        <w:t xml:space="preserve"> Ask the policy owner in writing. Exceptions that involve PHI or patient care also need the Privacy Officer and the Medical Director. We record all exceptions.</w:t>
      </w:r>
    </w:p>
    <w:p>
      <w:pPr>
        <w:ind w:left="504" w:hanging="360"/>
      </w:pPr>
      <w:r>
        <w:t xml:space="preserve">2.  </w:t>
      </w:r>
      <w:r>
        <w:rPr>
          <w:b/>
          <w:i w:val="0"/>
        </w:rPr>
        <w:t>Enforcement:</w:t>
      </w:r>
      <w:r>
        <w:rPr>
          <w:b w:val="0"/>
          <w:i w:val="0"/>
        </w:rPr>
        <w:t xml:space="preserve"> If you do not follow this policy, you can lose access to AI tools. Disciplinary action is also possible, as our other policies and the law allow.</w:t>
      </w:r>
    </w:p>
    <w:p>
      <w:pPr>
        <w:ind w:left="504" w:hanging="360"/>
      </w:pPr>
      <w:r>
        <w:t xml:space="preserve">3.  </w:t>
      </w:r>
      <w:r>
        <w:rPr>
          <w:b/>
          <w:i w:val="0"/>
        </w:rPr>
        <w:t>Your rights:</w:t>
      </w:r>
      <w:r>
        <w:rPr>
          <w:b w:val="0"/>
          <w:i w:val="0"/>
        </w:rPr>
        <w:t xml:space="preserve"> This policy does not limit your rights under the law, including your right to discuss the terms and conditions of your employment.</w:t>
      </w:r>
    </w:p>
    <w:p>
      <w:pPr>
        <w:ind w:left="504" w:hanging="360"/>
      </w:pPr>
      <w:r>
        <w:t xml:space="preserve">4.  </w:t>
      </w:r>
      <w:r>
        <w:rPr>
          <w:b/>
          <w:i w:val="0"/>
        </w:rPr>
        <w:t>Monitoring:</w:t>
      </w:r>
      <w:r>
        <w:rPr>
          <w:b w:val="0"/>
          <w:i w:val="0"/>
        </w:rPr>
        <w:t xml:space="preserve"> Riverbend keeps logs of AI tool use for 6 years, the same period that we keep our other HIPAA records. We use the logs to protect PHI and to meet legal duties.</w:t>
      </w:r>
    </w:p>
    <w:p>
      <w:pPr>
        <w:ind w:left="504" w:hanging="360"/>
      </w:pPr>
      <w:r>
        <w:t xml:space="preserve">5.  </w:t>
      </w:r>
      <w:r>
        <w:rPr>
          <w:b/>
          <w:i w:val="0"/>
        </w:rPr>
        <w:t>Review:</w:t>
      </w:r>
      <w:r>
        <w:rPr>
          <w:b w:val="0"/>
          <w:i w:val="0"/>
        </w:rPr>
        <w:t xml:space="preserve"> The policy owner reviews this policy at least every 12 months. The policy owner also reviews it when a law changes, after a serious AI incident, or when a main AI vendor changes its terms.</w:t>
      </w:r>
    </w:p>
    <w:p>
      <w:pPr>
        <w:pBdr>
          <w:bottom w:val="single" w:sz="6" w:space="1" w:color="BFC5CC"/>
        </w:pBdr>
      </w:pPr>
    </w:p>
    <w:p>
      <w:pPr>
        <w:pStyle w:val="Heading2"/>
      </w:pPr>
      <w:r>
        <w:t>Acknowledgement</w:t>
      </w:r>
    </w:p>
    <w:p>
      <w:r>
        <w:rPr>
          <w:b w:val="0"/>
          <w:i w:val="0"/>
        </w:rPr>
        <w:t>I read the Riverbend AI Acceptable-Use Policy. I understand it, and I agree to follow it.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E8EEF4"/>
          </w:tcPr>
          <w:p>
            <w:r>
              <w:rPr>
                <w:b/>
                <w:i w:val="0"/>
              </w:rPr>
              <w:t>Name</w:t>
            </w:r>
          </w:p>
        </w:tc>
        <w:tc>
          <w:tcPr>
            <w:tcW w:type="dxa" w:w="2340"/>
            <w:shd w:val="clear" w:fill="E8EEF4"/>
          </w:tcPr>
          <w:p>
            <w:r>
              <w:rPr>
                <w:b/>
                <w:i w:val="0"/>
              </w:rPr>
              <w:t>Role and clinic</w:t>
            </w:r>
          </w:p>
        </w:tc>
        <w:tc>
          <w:tcPr>
            <w:tcW w:type="dxa" w:w="2340"/>
            <w:shd w:val="clear" w:fill="E8EEF4"/>
          </w:tcPr>
          <w:p>
            <w:r>
              <w:rPr>
                <w:b/>
                <w:i w:val="0"/>
              </w:rPr>
              <w:t>Signature</w:t>
            </w:r>
          </w:p>
        </w:tc>
        <w:tc>
          <w:tcPr>
            <w:tcW w:type="dxa" w:w="2340"/>
            <w:shd w:val="clear" w:fill="E8EEF4"/>
          </w:tcPr>
          <w:p>
            <w:r>
              <w:rPr>
                <w:b/>
                <w:i w:val="0"/>
              </w:rPr>
              <w:t>Date</w:t>
            </w:r>
          </w:p>
        </w:tc>
      </w:tr>
      <w:tr>
        <w:tc>
          <w:tcPr>
            <w:tcW w:type="dxa" w:w="2340"/>
          </w:tcPr>
          <w:p/>
        </w:tc>
        <w:tc>
          <w:tcPr>
            <w:tcW w:type="dxa" w:w="2340"/>
          </w:tcPr>
          <w:p/>
        </w:tc>
        <w:tc>
          <w:tcPr>
            <w:tcW w:type="dxa" w:w="2340"/>
          </w:tcPr>
          <w:p/>
        </w:tc>
        <w:tc>
          <w:tcPr>
            <w:tcW w:type="dxa" w:w="2340"/>
          </w:tcPr>
          <w:p/>
        </w:tc>
      </w:tr>
    </w:tbl>
    <w:p/>
    <w:p>
      <w:pPr>
        <w:pBdr>
          <w:bottom w:val="single" w:sz="6" w:space="1" w:color="BFC5CC"/>
        </w:pBdr>
      </w:pPr>
    </w:p>
    <w:p>
      <w:pPr>
        <w:pStyle w:val="Heading2"/>
      </w:pPr>
      <w:r>
        <w:t>Appendix A. Health-care laws behind this example</w:t>
      </w:r>
    </w:p>
    <w:p>
      <w:r>
        <w:rPr>
          <w:b w:val="0"/>
          <w:i w:val="0"/>
        </w:rPr>
        <w:t>Status as of October 2026. Confirm with your counsel before you rely on any of them.</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Rule</w:t>
            </w:r>
          </w:p>
        </w:tc>
        <w:tc>
          <w:tcPr>
            <w:tcW w:type="dxa" w:w="3120"/>
            <w:shd w:val="clear" w:fill="E8EEF4"/>
          </w:tcPr>
          <w:p>
            <w:r>
              <w:rPr>
                <w:b/>
                <w:i w:val="0"/>
              </w:rPr>
              <w:t>What it requires</w:t>
            </w:r>
          </w:p>
        </w:tc>
        <w:tc>
          <w:tcPr>
            <w:tcW w:type="dxa" w:w="3120"/>
            <w:shd w:val="clear" w:fill="E8EEF4"/>
          </w:tcPr>
          <w:p>
            <w:r>
              <w:rPr>
                <w:b/>
                <w:i w:val="0"/>
              </w:rPr>
              <w:t>Sections in this policy</w:t>
            </w:r>
          </w:p>
        </w:tc>
      </w:tr>
      <w:tr>
        <w:tc>
          <w:tcPr>
            <w:tcW w:type="dxa" w:w="3120"/>
          </w:tcPr>
          <w:p>
            <w:r>
              <w:rPr>
                <w:b w:val="0"/>
                <w:i w:val="0"/>
              </w:rPr>
              <w:t>HIPAA Privacy Rule, minimum necessary standard (45 CFR 164.502(b))</w:t>
            </w:r>
          </w:p>
        </w:tc>
        <w:tc>
          <w:tcPr>
            <w:tcW w:type="dxa" w:w="3120"/>
          </w:tcPr>
          <w:p>
            <w:r>
              <w:rPr>
                <w:b w:val="0"/>
                <w:i w:val="0"/>
              </w:rPr>
              <w:t>Use and share only the minimum PHI that a task needs</w:t>
            </w:r>
          </w:p>
        </w:tc>
        <w:tc>
          <w:tcPr>
            <w:tcW w:type="dxa" w:w="3120"/>
          </w:tcPr>
          <w:p>
            <w:r>
              <w:rPr>
                <w:b w:val="0"/>
                <w:i w:val="0"/>
              </w:rPr>
              <w:t>5</w:t>
            </w:r>
          </w:p>
        </w:tc>
      </w:tr>
      <w:tr>
        <w:tc>
          <w:tcPr>
            <w:tcW w:type="dxa" w:w="3120"/>
          </w:tcPr>
          <w:p>
            <w:r>
              <w:rPr>
                <w:b w:val="0"/>
                <w:i w:val="0"/>
              </w:rPr>
              <w:t>HIPAA business associate rules (45 CFR 164.502(e), 164.504(e))</w:t>
            </w:r>
          </w:p>
        </w:tc>
        <w:tc>
          <w:tcPr>
            <w:tcW w:type="dxa" w:w="3120"/>
          </w:tcPr>
          <w:p>
            <w:r>
              <w:rPr>
                <w:b w:val="0"/>
                <w:i w:val="0"/>
              </w:rPr>
              <w:t>A BAA before a vendor creates, receives, keeps, or sends PHI</w:t>
            </w:r>
          </w:p>
        </w:tc>
        <w:tc>
          <w:tcPr>
            <w:tcW w:type="dxa" w:w="3120"/>
          </w:tcPr>
          <w:p>
            <w:r>
              <w:rPr>
                <w:b w:val="0"/>
                <w:i w:val="0"/>
              </w:rPr>
              <w:t>4, 5, 9</w:t>
            </w:r>
          </w:p>
        </w:tc>
      </w:tr>
      <w:tr>
        <w:tc>
          <w:tcPr>
            <w:tcW w:type="dxa" w:w="3120"/>
          </w:tcPr>
          <w:p>
            <w:r>
              <w:rPr>
                <w:b w:val="0"/>
                <w:i w:val="0"/>
              </w:rPr>
              <w:t>HIPAA Breach Notification Rule (45 CFR 164.400–414)</w:t>
            </w:r>
          </w:p>
        </w:tc>
        <w:tc>
          <w:tcPr>
            <w:tcW w:type="dxa" w:w="3120"/>
          </w:tcPr>
          <w:p>
            <w:r>
              <w:rPr>
                <w:b w:val="0"/>
                <w:i w:val="0"/>
              </w:rPr>
              <w:t>Notice to patients without unreasonable delay, and no later than 60 days after discovery</w:t>
            </w:r>
          </w:p>
        </w:tc>
        <w:tc>
          <w:tcPr>
            <w:tcW w:type="dxa" w:w="3120"/>
          </w:tcPr>
          <w:p>
            <w:r>
              <w:rPr>
                <w:b w:val="0"/>
                <w:i w:val="0"/>
              </w:rPr>
              <w:t>12</w:t>
            </w:r>
          </w:p>
        </w:tc>
      </w:tr>
      <w:tr>
        <w:tc>
          <w:tcPr>
            <w:tcW w:type="dxa" w:w="3120"/>
          </w:tcPr>
          <w:p>
            <w:r>
              <w:rPr>
                <w:b w:val="0"/>
                <w:i w:val="0"/>
              </w:rPr>
              <w:t>Section 1557 of the Affordable Care Act (45 CFR 92.210)</w:t>
            </w:r>
          </w:p>
        </w:tc>
        <w:tc>
          <w:tcPr>
            <w:tcW w:type="dxa" w:w="3120"/>
          </w:tcPr>
          <w:p>
            <w:r>
              <w:rPr>
                <w:b w:val="0"/>
                <w:i w:val="0"/>
              </w:rPr>
              <w:t>Reasonable efforts to find and reduce discrimination risk in patient care decision support tools</w:t>
            </w:r>
          </w:p>
        </w:tc>
        <w:tc>
          <w:tcPr>
            <w:tcW w:type="dxa" w:w="3120"/>
          </w:tcPr>
          <w:p>
            <w:r>
              <w:rPr>
                <w:b w:val="0"/>
                <w:i w:val="0"/>
              </w:rPr>
              <w:t>6</w:t>
            </w:r>
          </w:p>
        </w:tc>
      </w:tr>
      <w:tr>
        <w:tc>
          <w:tcPr>
            <w:tcW w:type="dxa" w:w="3120"/>
          </w:tcPr>
          <w:p>
            <w:r>
              <w:rPr>
                <w:b w:val="0"/>
                <w:i w:val="0"/>
              </w:rPr>
              <w:t>California Health and Safety Code §1339.75 (AB 3030)</w:t>
            </w:r>
          </w:p>
        </w:tc>
        <w:tc>
          <w:tcPr>
            <w:tcW w:type="dxa" w:w="3120"/>
          </w:tcPr>
          <w:p>
            <w:r>
              <w:rPr>
                <w:b w:val="0"/>
                <w:i w:val="0"/>
              </w:rPr>
              <w:t>A disclaimer and contact instructions on AI-generated clinical messages, unless a licensed provider reviewed them</w:t>
            </w:r>
          </w:p>
        </w:tc>
        <w:tc>
          <w:tcPr>
            <w:tcW w:type="dxa" w:w="3120"/>
          </w:tcPr>
          <w:p>
            <w:r>
              <w:rPr>
                <w:b w:val="0"/>
                <w:i w:val="0"/>
              </w:rPr>
              <w:t>8</w:t>
            </w:r>
          </w:p>
        </w:tc>
      </w:tr>
      <w:tr>
        <w:tc>
          <w:tcPr>
            <w:tcW w:type="dxa" w:w="3120"/>
          </w:tcPr>
          <w:p>
            <w:r>
              <w:rPr>
                <w:b w:val="0"/>
                <w:i w:val="0"/>
              </w:rPr>
              <w:t>California Penal Code §632</w:t>
            </w:r>
          </w:p>
        </w:tc>
        <w:tc>
          <w:tcPr>
            <w:tcW w:type="dxa" w:w="3120"/>
          </w:tcPr>
          <w:p>
            <w:r>
              <w:rPr>
                <w:b w:val="0"/>
                <w:i w:val="0"/>
              </w:rPr>
              <w:t>Consent of all parties before recording a confidential conversation</w:t>
            </w:r>
          </w:p>
        </w:tc>
        <w:tc>
          <w:tcPr>
            <w:tcW w:type="dxa" w:w="3120"/>
          </w:tcPr>
          <w:p>
            <w:r>
              <w:rPr>
                <w:b w:val="0"/>
                <w:i w:val="0"/>
              </w:rPr>
              <w:t>7</w:t>
            </w:r>
          </w:p>
        </w:tc>
      </w:tr>
      <w:tr>
        <w:tc>
          <w:tcPr>
            <w:tcW w:type="dxa" w:w="3120"/>
          </w:tcPr>
          <w:p>
            <w:r>
              <w:rPr>
                <w:b w:val="0"/>
                <w:i w:val="0"/>
              </w:rPr>
              <w:t>Texas HB 149, Texas Responsible AI Governance Act (from January 1, 2026)</w:t>
            </w:r>
          </w:p>
        </w:tc>
        <w:tc>
          <w:tcPr>
            <w:tcW w:type="dxa" w:w="3120"/>
          </w:tcPr>
          <w:p>
            <w:r>
              <w:rPr>
                <w:b w:val="0"/>
                <w:i w:val="0"/>
              </w:rPr>
              <w:t>Tell patients in plain language that AI is used in their care, by the date of service</w:t>
            </w:r>
          </w:p>
        </w:tc>
        <w:tc>
          <w:tcPr>
            <w:tcW w:type="dxa" w:w="3120"/>
          </w:tcPr>
          <w:p>
            <w:r>
              <w:rPr>
                <w:b w:val="0"/>
                <w:i w:val="0"/>
              </w:rPr>
              <w:t>8</w:t>
            </w:r>
          </w:p>
        </w:tc>
      </w:tr>
      <w:tr>
        <w:tc>
          <w:tcPr>
            <w:tcW w:type="dxa" w:w="3120"/>
          </w:tcPr>
          <w:p>
            <w:r>
              <w:rPr>
                <w:b w:val="0"/>
                <w:i w:val="0"/>
              </w:rPr>
              <w:t>Texas SB 1188 (Health and Safety Code §183.005, from September 1, 2025)</w:t>
            </w:r>
          </w:p>
        </w:tc>
        <w:tc>
          <w:tcPr>
            <w:tcW w:type="dxa" w:w="3120"/>
          </w:tcPr>
          <w:p>
            <w:r>
              <w:rPr>
                <w:b w:val="0"/>
                <w:i w:val="0"/>
              </w:rPr>
              <w:t>A practitioner who uses AI for diagnosis reviews all AI-generated records and tells the patient</w:t>
            </w:r>
          </w:p>
        </w:tc>
        <w:tc>
          <w:tcPr>
            <w:tcW w:type="dxa" w:w="3120"/>
          </w:tcPr>
          <w:p>
            <w:r>
              <w:rPr>
                <w:b w:val="0"/>
                <w:i w:val="0"/>
              </w:rPr>
              <w:t>6, 8</w:t>
            </w:r>
          </w:p>
        </w:tc>
      </w:tr>
    </w:tbl>
    <w:p/>
    <w:p>
      <w:pPr>
        <w:pStyle w:val="Heading2"/>
      </w:pPr>
      <w:r>
        <w:t>Appendix B. Framework mapping</w:t>
      </w:r>
    </w:p>
    <w:p>
      <w:r>
        <w:rPr>
          <w:b w:val="0"/>
          <w:i w:val="0"/>
        </w:rPr>
        <w:t>The generic template has the full section-by-section mapping. This example adds clinical controls that support these items:</w:t>
      </w:r>
    </w:p>
    <w:p>
      <w:pPr>
        <w:pStyle w:val="ListBullet"/>
      </w:pPr>
      <w:r>
        <w:rPr>
          <w:b/>
          <w:i w:val="0"/>
        </w:rPr>
        <w:t>NIST AI RMF 1.0:</w:t>
      </w:r>
      <w:r>
        <w:rPr>
          <w:b w:val="0"/>
          <w:i w:val="0"/>
        </w:rPr>
        <w:t xml:space="preserve"> MAP 3.5 (human oversight), MEASURE 2.11 (fairness and bias), MANAGE 4.3 (incident communication)</w:t>
      </w:r>
    </w:p>
    <w:p>
      <w:pPr>
        <w:pStyle w:val="ListBullet"/>
      </w:pPr>
      <w:r>
        <w:rPr>
          <w:b/>
          <w:i w:val="0"/>
        </w:rPr>
        <w:t>NIST AI 600-1:</w:t>
      </w:r>
      <w:r>
        <w:rPr>
          <w:b w:val="0"/>
          <w:i w:val="0"/>
        </w:rPr>
        <w:t xml:space="preserve"> GV-1.4-002 (transparent acceptable-use policies), MG-2.4-004 (criteria to switch off a system)</w:t>
      </w:r>
    </w:p>
    <w:p>
      <w:pPr>
        <w:pStyle w:val="ListBullet"/>
      </w:pPr>
      <w:r>
        <w:rPr>
          <w:b/>
          <w:i w:val="0"/>
        </w:rPr>
        <w:t>ISO/IEC 42001, Annex A areas:</w:t>
      </w:r>
      <w:r>
        <w:rPr>
          <w:b w:val="0"/>
          <w:i w:val="0"/>
        </w:rPr>
        <w:t xml:space="preserve"> A.5 (assessing impacts of AI systems), A.8 (information for interested parties), A.9 (use of AI systems)</w:t>
      </w:r>
    </w:p>
    <w:p>
      <w:pPr>
        <w:pStyle w:val="ListBullet"/>
      </w:pPr>
      <w:r>
        <w:rPr>
          <w:b/>
          <w:i w:val="0"/>
        </w:rPr>
        <w:t>OWASP Top 10 for LLM Applications 2026:</w:t>
      </w:r>
      <w:r>
        <w:rPr>
          <w:b w:val="0"/>
          <w:i w:val="0"/>
        </w:rPr>
        <w:t xml:space="preserve"> LLM02 Sensitive Information Disclosure, LLM07 Misinformation</w:t>
      </w:r>
    </w:p>
    <w:p>
      <w:pPr>
        <w:pBdr>
          <w:bottom w:val="single" w:sz="6" w:space="1" w:color="BFC5CC"/>
        </w:pBdr>
      </w:pPr>
    </w:p>
    <w:p>
      <w:r>
        <w:rPr>
          <w:b w:val="0"/>
          <w:i/>
          <w:color w:val="59636E"/>
        </w:rPr>
        <w:t xml:space="preserve">Fictional example by </w:t>
      </w:r>
      <w:hyperlink r:id="rId10">
        <w:r>
          <w:rPr>
            <w:color w:val="0563C1"/>
            <w:u w:val="single"/>
          </w:rPr>
          <w:t xml:space="preserve">NosisTech LLC</w:t>
        </w:r>
      </w:hyperlink>
      <w:r>
        <w:rPr>
          <w:b w:val="0"/>
          <w:i/>
          <w:color w:val="59636E"/>
        </w:rPr>
        <w:t xml:space="preserve">. Part of the free </w:t>
      </w:r>
      <w:hyperlink r:id="rId11">
        <w:r>
          <w:rPr>
            <w:color w:val="0563C1"/>
            <w:u w:val="single"/>
          </w:rPr>
          <w:t xml:space="preserve">governance-templates</w:t>
        </w:r>
      </w:hyperlink>
      <w:r>
        <w:rPr>
          <w:b w:val="0"/>
          <w:i/>
          <w:color w:val="59636E"/>
        </w:rPr>
        <w:t xml:space="preserve"> collection. Licensed under </w:t>
      </w:r>
      <w:hyperlink r:id="rId12">
        <w:r>
          <w:rPr>
            <w:color w:val="0563C1"/>
            <w:u w:val="single"/>
          </w:rPr>
          <w:t xml:space="preserve">CC BY 4.0</w:t>
        </w:r>
      </w:hyperlink>
      <w:r>
        <w:rPr>
          <w:b w:val="0"/>
          <w:i/>
          <w:color w:val="59636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NosisTech LLC · governance-templates ·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sistech.com" TargetMode="External"/><Relationship Id="rId11" Type="http://schemas.openxmlformats.org/officeDocument/2006/relationships/hyperlink" Target="https://github.com/nosistech/governance-templates" TargetMode="External"/><Relationship Id="rId1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