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03803" w14:textId="77777777" w:rsidR="00825C24" w:rsidRDefault="00825C24"/>
    <w:p w14:paraId="48118575" w14:textId="4DA78C4F" w:rsidR="001C168E" w:rsidRPr="00825C24" w:rsidRDefault="001C168E" w:rsidP="00825C24">
      <w:pPr>
        <w:rPr>
          <w:lang w:val="sr-Cyrl-RS"/>
        </w:rPr>
      </w:pPr>
      <w:proofErr w:type="spellStart"/>
      <w:r w:rsidRPr="00AD2428">
        <w:rPr>
          <w:rStyle w:val="Heading2Char"/>
        </w:rPr>
        <w:t>Назив</w:t>
      </w:r>
      <w:proofErr w:type="spellEnd"/>
      <w:r w:rsidRPr="00AD2428">
        <w:rPr>
          <w:rStyle w:val="Heading2Char"/>
        </w:rPr>
        <w:t xml:space="preserve"> </w:t>
      </w:r>
      <w:proofErr w:type="spellStart"/>
      <w:r w:rsidRPr="00AD2428">
        <w:rPr>
          <w:rStyle w:val="Heading2Char"/>
        </w:rPr>
        <w:t>проблема</w:t>
      </w:r>
      <w:proofErr w:type="spellEnd"/>
      <w:r w:rsidRPr="00AD2428">
        <w:rPr>
          <w:rStyle w:val="Heading2Char"/>
        </w:rPr>
        <w:t>:</w:t>
      </w:r>
      <w:r>
        <w:rPr>
          <w:lang w:val="uz-Cyrl-UZ"/>
        </w:rPr>
        <w:t xml:space="preserve"> </w:t>
      </w:r>
      <w:r w:rsidR="00825C24">
        <w:rPr>
          <w:lang w:val="sr-Cyrl-RS"/>
        </w:rPr>
        <w:t>Судари</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18"/>
      </w:tblGrid>
      <w:tr w:rsidR="001C168E" w14:paraId="3655CF16"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6339C673" w14:textId="26FD8A1E" w:rsidR="001C168E" w:rsidRPr="00E21FFC" w:rsidRDefault="00E21FFC" w:rsidP="00825C24">
            <w:pPr>
              <w:pStyle w:val="Heading3"/>
              <w:outlineLvl w:val="2"/>
            </w:pPr>
            <w:r w:rsidRPr="00E21FFC">
              <w:rPr>
                <w:lang w:val="uz-Cyrl-UZ"/>
              </w:rPr>
              <w:t>Аутор</w:t>
            </w:r>
            <w:r>
              <w:rPr>
                <w:lang w:val="uz-Cyrl-UZ"/>
              </w:rPr>
              <w:t xml:space="preserve">: </w:t>
            </w:r>
            <w:r w:rsidR="00825C24" w:rsidRPr="00825C24">
              <w:rPr>
                <w:b w:val="0"/>
                <w:bCs w:val="0"/>
                <w:color w:val="auto"/>
                <w:lang w:val="uz-Cyrl-UZ"/>
              </w:rPr>
              <w:t>Андреј Ивашковић</w:t>
            </w:r>
          </w:p>
        </w:tc>
        <w:tc>
          <w:tcPr>
            <w:tcW w:w="4918" w:type="dxa"/>
            <w:tcBorders>
              <w:bottom w:val="none" w:sz="0" w:space="0" w:color="auto"/>
            </w:tcBorders>
          </w:tcPr>
          <w:p w14:paraId="3A7F07AA" w14:textId="6426CDEE" w:rsidR="001C168E" w:rsidRPr="00AD2428" w:rsidRDefault="00E21FFC" w:rsidP="00825C24">
            <w:pPr>
              <w:pStyle w:val="Heading3"/>
              <w:outlineLvl w:val="2"/>
              <w:cnfStyle w:val="100000000000" w:firstRow="1" w:lastRow="0" w:firstColumn="0" w:lastColumn="0" w:oddVBand="0" w:evenVBand="0" w:oddHBand="0" w:evenHBand="0" w:firstRowFirstColumn="0" w:firstRowLastColumn="0" w:lastRowFirstColumn="0" w:lastRowLastColumn="0"/>
              <w:rPr>
                <w:lang w:val="uz-Cyrl-UZ"/>
              </w:rPr>
            </w:pPr>
            <w:r>
              <w:rPr>
                <w:lang w:val="uz-Cyrl-UZ"/>
              </w:rPr>
              <w:t>Анализа</w:t>
            </w:r>
            <w:r w:rsidRPr="00E21FFC">
              <w:rPr>
                <w:lang w:val="uz-Cyrl-UZ"/>
              </w:rPr>
              <w:t xml:space="preserve">: </w:t>
            </w:r>
            <w:r w:rsidR="00825C24" w:rsidRPr="00825C24">
              <w:rPr>
                <w:b w:val="0"/>
                <w:bCs w:val="0"/>
                <w:color w:val="auto"/>
                <w:lang w:val="uz-Cyrl-UZ"/>
              </w:rPr>
              <w:t>Андреј Ивашковић</w:t>
            </w:r>
          </w:p>
        </w:tc>
      </w:tr>
    </w:tbl>
    <w:p w14:paraId="14F66007" w14:textId="77777777" w:rsidR="001C168E" w:rsidRDefault="001C168E"/>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93"/>
      </w:tblGrid>
      <w:tr w:rsidR="00E21FFC" w14:paraId="2490733A"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none" w:sz="0" w:space="0" w:color="auto"/>
            </w:tcBorders>
            <w:vAlign w:val="center"/>
          </w:tcPr>
          <w:p w14:paraId="4ACEA8A3" w14:textId="77777777" w:rsidR="00E21FFC" w:rsidRPr="00E21FFC" w:rsidRDefault="00E21FFC" w:rsidP="00E21FFC">
            <w:pPr>
              <w:pStyle w:val="Heading3"/>
              <w:outlineLvl w:val="2"/>
            </w:pPr>
            <w:r>
              <w:rPr>
                <w:lang w:val="uz-Cyrl-UZ"/>
              </w:rPr>
              <w:t>Тагови:</w:t>
            </w:r>
          </w:p>
        </w:tc>
        <w:tc>
          <w:tcPr>
            <w:tcW w:w="8693" w:type="dxa"/>
            <w:tcBorders>
              <w:bottom w:val="none" w:sz="0" w:space="0" w:color="auto"/>
            </w:tcBorders>
            <w:vAlign w:val="center"/>
          </w:tcPr>
          <w:p w14:paraId="7528429D" w14:textId="46114AD0" w:rsidR="00E21FFC" w:rsidRPr="00825C24" w:rsidRDefault="00825C24" w:rsidP="00825C24">
            <w:pPr>
              <w:cnfStyle w:val="100000000000" w:firstRow="1" w:lastRow="0" w:firstColumn="0" w:lastColumn="0" w:oddVBand="0" w:evenVBand="0" w:oddHBand="0" w:evenHBand="0" w:firstRowFirstColumn="0" w:firstRowLastColumn="0" w:lastRowFirstColumn="0" w:lastRowLastColumn="0"/>
              <w:rPr>
                <w:b w:val="0"/>
                <w:lang w:val="en-GB"/>
              </w:rPr>
            </w:pPr>
            <w:r>
              <w:rPr>
                <w:b w:val="0"/>
                <w:lang w:val="uz-Cyrl-UZ"/>
              </w:rPr>
              <w:t xml:space="preserve">препроцесирање, </w:t>
            </w:r>
            <w:r>
              <w:rPr>
                <w:b w:val="0"/>
                <w:noProof/>
                <w:lang w:val="sr-Cyrl-RS"/>
              </w:rPr>
              <w:t>„ад-хок“</w:t>
            </w:r>
          </w:p>
        </w:tc>
      </w:tr>
    </w:tbl>
    <w:p w14:paraId="54A14B04" w14:textId="77777777" w:rsidR="001C168E" w:rsidRDefault="00E21FFC" w:rsidP="00AD2428">
      <w:pPr>
        <w:pStyle w:val="Heading2"/>
        <w:rPr>
          <w:lang w:val="uz-Cyrl-UZ"/>
        </w:rPr>
      </w:pPr>
      <w:r>
        <w:rPr>
          <w:lang w:val="uz-Cyrl-UZ"/>
        </w:rPr>
        <w:t>Решење и анализа:</w:t>
      </w:r>
    </w:p>
    <w:p w14:paraId="2FBE9C46" w14:textId="5EA43638" w:rsidR="00825C24" w:rsidRDefault="00825C24" w:rsidP="00825C24">
      <w:pPr>
        <w:rPr>
          <w:lang w:val="uz-Cyrl-UZ"/>
        </w:rPr>
      </w:pPr>
      <w:r>
        <w:rPr>
          <w:lang w:val="uz-Cyrl-UZ"/>
        </w:rPr>
        <w:t xml:space="preserve">Овом задатку је могуће приступити на неколико начина различите ефикасности и “изводљивости” (под овим се мисли на тежину исправне имплементације конципираног алгоритма). У даљем тексту овог решења ће бити наведене разне технике којим се пише сажето решење (Комисија је саставила више решења, при чему нека имају око 60 редова </w:t>
      </w:r>
      <w:r>
        <w:rPr>
          <w:lang w:val="sr-Latn-RS"/>
        </w:rPr>
        <w:t xml:space="preserve">C++ </w:t>
      </w:r>
      <w:r>
        <w:rPr>
          <w:lang w:val="uz-Cyrl-UZ"/>
        </w:rPr>
        <w:t>кода</w:t>
      </w:r>
      <w:r>
        <w:rPr>
          <w:lang w:val="sr-Latn-RS"/>
        </w:rPr>
        <w:t>,</w:t>
      </w:r>
      <w:r>
        <w:rPr>
          <w:lang w:val="uz-Cyrl-UZ"/>
        </w:rPr>
        <w:t xml:space="preserve"> </w:t>
      </w:r>
      <w:r>
        <w:rPr>
          <w:lang w:val="sr-Cyrl-RS"/>
        </w:rPr>
        <w:t xml:space="preserve">а нека око </w:t>
      </w:r>
      <w:r>
        <w:rPr>
          <w:lang w:val="en-GB"/>
        </w:rPr>
        <w:t>160</w:t>
      </w:r>
      <w:r>
        <w:rPr>
          <w:lang w:val="sr-Cyrl-RS"/>
        </w:rPr>
        <w:t xml:space="preserve"> – поједини такмичари су имали решења чија је дужина прешла ХХХХХХ!</w:t>
      </w:r>
      <w:r>
        <w:rPr>
          <w:lang w:val="uz-Cyrl-UZ"/>
        </w:rPr>
        <w:t>).</w:t>
      </w:r>
      <w:r w:rsidR="00ED6853">
        <w:rPr>
          <w:lang w:val="uz-Cyrl-UZ"/>
        </w:rPr>
        <w:t xml:space="preserve"> Један од циљева овог задатка је био провера колико су такмичари способни да пишу уредан</w:t>
      </w:r>
      <w:r w:rsidR="00756DA9">
        <w:rPr>
          <w:lang w:val="uz-Cyrl-UZ"/>
        </w:rPr>
        <w:t xml:space="preserve"> и модуларан</w:t>
      </w:r>
      <w:r w:rsidR="00ED6853">
        <w:rPr>
          <w:lang w:val="uz-Cyrl-UZ"/>
        </w:rPr>
        <w:t xml:space="preserve"> код.</w:t>
      </w:r>
    </w:p>
    <w:p w14:paraId="65650565" w14:textId="6D4762DE" w:rsidR="00825C24" w:rsidRDefault="00825C24" w:rsidP="00825C24">
      <w:pPr>
        <w:pStyle w:val="Heading3"/>
        <w:rPr>
          <w:lang w:val="uz-Cyrl-UZ"/>
        </w:rPr>
      </w:pPr>
      <w:r>
        <w:rPr>
          <w:lang w:val="uz-Cyrl-UZ"/>
        </w:rPr>
        <w:t>30 поена</w:t>
      </w:r>
    </w:p>
    <w:p w14:paraId="735E812E" w14:textId="713A12C2" w:rsidR="00825C24" w:rsidRDefault="00825C24" w:rsidP="00825C24">
      <w:pPr>
        <w:rPr>
          <w:rFonts w:eastAsiaTheme="minorEastAsia"/>
          <w:lang w:val="uz-Cyrl-UZ"/>
        </w:rPr>
      </w:pPr>
      <w:r>
        <w:rPr>
          <w:lang w:val="uz-Cyrl-UZ"/>
        </w:rPr>
        <w:t xml:space="preserve">У случају </w:t>
      </w:r>
      <m:oMath>
        <m:r>
          <w:rPr>
            <w:rFonts w:ascii="Cambria Math" w:hAnsi="Cambria Math"/>
            <w:lang w:val="uz-Cyrl-UZ"/>
          </w:rPr>
          <m:t>k≤1000</m:t>
        </m:r>
      </m:oMath>
      <w:r>
        <w:rPr>
          <w:lang w:val="uz-Cyrl-UZ"/>
        </w:rPr>
        <w:t xml:space="preserve"> је довољно да се примети да ће између свака два судара бити највише </w:t>
      </w:r>
      <m:oMath>
        <m:func>
          <m:funcPr>
            <m:ctrlPr>
              <w:rPr>
                <w:rFonts w:ascii="Cambria Math" w:hAnsi="Cambria Math"/>
                <w:i/>
                <w:lang w:val="uz-Cyrl-UZ"/>
              </w:rPr>
            </m:ctrlPr>
          </m:funcPr>
          <m:fName>
            <m:r>
              <m:rPr>
                <m:sty m:val="p"/>
              </m:rPr>
              <w:rPr>
                <w:rFonts w:ascii="Cambria Math" w:hAnsi="Cambria Math"/>
                <w:lang w:val="uz-Cyrl-UZ"/>
              </w:rPr>
              <m:t>max</m:t>
            </m:r>
          </m:fName>
          <m:e>
            <m:d>
              <m:dPr>
                <m:begChr m:val="{"/>
                <m:endChr m:val="}"/>
                <m:ctrlPr>
                  <w:rPr>
                    <w:rFonts w:ascii="Cambria Math" w:hAnsi="Cambria Math"/>
                    <w:i/>
                    <w:lang w:val="uz-Cyrl-UZ"/>
                  </w:rPr>
                </m:ctrlPr>
              </m:dPr>
              <m:e>
                <m:r>
                  <w:rPr>
                    <w:rFonts w:ascii="Cambria Math" w:hAnsi="Cambria Math"/>
                    <w:lang w:val="uz-Cyrl-UZ"/>
                  </w:rPr>
                  <m:t>m,n</m:t>
                </m:r>
              </m:e>
            </m:d>
          </m:e>
        </m:func>
      </m:oMath>
      <w:r>
        <w:rPr>
          <w:rFonts w:eastAsiaTheme="minorEastAsia"/>
          <w:lang w:val="uz-Cyrl-UZ"/>
        </w:rPr>
        <w:t xml:space="preserve"> корака: у најгорем случају се Дрејко кретао од једног до другог краја матрице. Стога је симулација овог кретања прихватљиво решење чија је временска сложеност </w:t>
      </w:r>
      <m:oMath>
        <m:r>
          <w:rPr>
            <w:rFonts w:ascii="Cambria Math" w:eastAsiaTheme="minorEastAsia" w:hAnsi="Cambria Math"/>
            <w:lang w:val="uz-Cyrl-UZ"/>
          </w:rPr>
          <m:t>O</m:t>
        </m:r>
        <m:d>
          <m:dPr>
            <m:ctrlPr>
              <w:rPr>
                <w:rFonts w:ascii="Cambria Math" w:eastAsiaTheme="minorEastAsia" w:hAnsi="Cambria Math"/>
                <w:i/>
                <w:lang w:val="uz-Cyrl-UZ"/>
              </w:rPr>
            </m:ctrlPr>
          </m:dPr>
          <m:e>
            <m:r>
              <w:rPr>
                <w:rFonts w:ascii="Cambria Math" w:eastAsiaTheme="minorEastAsia" w:hAnsi="Cambria Math"/>
                <w:lang w:val="uz-Cyrl-UZ"/>
              </w:rPr>
              <m:t>k⋅</m:t>
            </m:r>
            <m:func>
              <m:funcPr>
                <m:ctrlPr>
                  <w:rPr>
                    <w:rFonts w:ascii="Cambria Math" w:hAnsi="Cambria Math"/>
                    <w:i/>
                    <w:lang w:val="uz-Cyrl-UZ"/>
                  </w:rPr>
                </m:ctrlPr>
              </m:funcPr>
              <m:fName>
                <m:r>
                  <m:rPr>
                    <m:sty m:val="p"/>
                  </m:rPr>
                  <w:rPr>
                    <w:rFonts w:ascii="Cambria Math" w:hAnsi="Cambria Math"/>
                    <w:lang w:val="uz-Cyrl-UZ"/>
                  </w:rPr>
                  <m:t>max</m:t>
                </m:r>
              </m:fName>
              <m:e>
                <m:d>
                  <m:dPr>
                    <m:begChr m:val="{"/>
                    <m:endChr m:val="}"/>
                    <m:ctrlPr>
                      <w:rPr>
                        <w:rFonts w:ascii="Cambria Math" w:hAnsi="Cambria Math"/>
                        <w:i/>
                        <w:lang w:val="uz-Cyrl-UZ"/>
                      </w:rPr>
                    </m:ctrlPr>
                  </m:dPr>
                  <m:e>
                    <m:r>
                      <w:rPr>
                        <w:rFonts w:ascii="Cambria Math" w:hAnsi="Cambria Math"/>
                        <w:lang w:val="uz-Cyrl-UZ"/>
                      </w:rPr>
                      <m:t>m,n</m:t>
                    </m:r>
                  </m:e>
                </m:d>
              </m:e>
            </m:func>
          </m:e>
        </m:d>
      </m:oMath>
      <w:r>
        <w:rPr>
          <w:rFonts w:eastAsiaTheme="minorEastAsia"/>
          <w:lang w:val="uz-Cyrl-UZ"/>
        </w:rPr>
        <w:t>.</w:t>
      </w:r>
    </w:p>
    <w:p w14:paraId="63E0657F" w14:textId="230C381B" w:rsidR="00ED6853" w:rsidRDefault="00ED6853" w:rsidP="00ED6853">
      <w:pPr>
        <w:rPr>
          <w:rFonts w:eastAsiaTheme="minorEastAsia"/>
          <w:lang w:val="uz-Cyrl-UZ"/>
        </w:rPr>
      </w:pPr>
      <w:r>
        <w:rPr>
          <w:rFonts w:eastAsiaTheme="minorEastAsia"/>
          <w:lang w:val="uz-Cyrl-UZ"/>
        </w:rPr>
        <w:t>Иако иза овог решења не постоји никаква права “идеја”, оно се показује изузетно тешким за исправну имплементацију. Конкретно, у једном приступу бисмо морали да разматрамо све могуће “режиме” кретања и, у зависности од тога да ли се Дрејко креће ка северу, југу, западу или истоку, имали бисмо разне случајеве. Појединачно они нису нарочито тешки, али проблем настаје уколико желимо да уведемо измене у логику, након чега морају аналогне (али не идентичне!) измене да се уведу у свим случајевима – тада настају врло непријатне грешке. Зато ћемо представити опис неких уобичајених техника које сва четири случаја спајају у један општи.</w:t>
      </w:r>
    </w:p>
    <w:p w14:paraId="5BF00C14" w14:textId="3BE44C1B" w:rsidR="00ED6853" w:rsidRDefault="00ED6853" w:rsidP="00A77703">
      <w:pPr>
        <w:rPr>
          <w:rFonts w:eastAsiaTheme="minorEastAsia"/>
          <w:lang w:val="uz-Cyrl-UZ"/>
        </w:rPr>
      </w:pPr>
      <w:r>
        <w:rPr>
          <w:rFonts w:eastAsiaTheme="minorEastAsia"/>
          <w:lang w:val="uz-Cyrl-UZ"/>
        </w:rPr>
        <w:t xml:space="preserve">Нумеришимо </w:t>
      </w:r>
      <w:r w:rsidR="00A77703">
        <w:rPr>
          <w:rFonts w:eastAsiaTheme="minorEastAsia"/>
          <w:lang w:val="uz-Cyrl-UZ"/>
        </w:rPr>
        <w:t>режиме</w:t>
      </w:r>
      <w:r>
        <w:rPr>
          <w:rFonts w:eastAsiaTheme="minorEastAsia"/>
          <w:lang w:val="uz-Cyrl-UZ"/>
        </w:rPr>
        <w:t xml:space="preserve"> кретања бројевима 0, 1, 2, 3 (0 – јужно, 1 – источно, 2 – северно, 3 – западно). Тада је очигледно да се након сваког судара нумерација нашег </w:t>
      </w:r>
      <w:r w:rsidR="00A77703">
        <w:rPr>
          <w:rFonts w:eastAsiaTheme="minorEastAsia"/>
          <w:lang w:val="uz-Cyrl-UZ"/>
        </w:rPr>
        <w:t>режима</w:t>
      </w:r>
      <w:r>
        <w:rPr>
          <w:rFonts w:eastAsiaTheme="minorEastAsia"/>
          <w:lang w:val="uz-Cyrl-UZ"/>
        </w:rPr>
        <w:t xml:space="preserve"> увећа за 1 (по модулу 4</w:t>
      </w:r>
      <w:r w:rsidR="00A77703">
        <w:rPr>
          <w:rFonts w:eastAsiaTheme="minorEastAsia"/>
          <w:lang w:val="uz-Cyrl-UZ"/>
        </w:rPr>
        <w:t xml:space="preserve">: </w:t>
      </w:r>
      <w:r>
        <w:rPr>
          <w:rFonts w:eastAsiaTheme="minorEastAsia"/>
          <w:lang w:val="uz-Cyrl-UZ"/>
        </w:rPr>
        <w:t>прелаз 3</w:t>
      </w:r>
      <m:oMath>
        <m:r>
          <w:rPr>
            <w:rFonts w:ascii="Cambria Math" w:eastAsiaTheme="minorEastAsia" w:hAnsi="Cambria Math"/>
            <w:lang w:val="uz-Cyrl-UZ"/>
          </w:rPr>
          <m:t>⟶</m:t>
        </m:r>
      </m:oMath>
      <w:r>
        <w:rPr>
          <w:rFonts w:eastAsiaTheme="minorEastAsia"/>
          <w:lang w:val="uz-Cyrl-UZ"/>
        </w:rPr>
        <w:t>0).</w:t>
      </w:r>
    </w:p>
    <w:p w14:paraId="47D3E279" w14:textId="3E7CD5F3" w:rsidR="00ED6853" w:rsidRDefault="00ED6853" w:rsidP="00A77703">
      <w:pPr>
        <w:rPr>
          <w:rFonts w:eastAsiaTheme="minorEastAsia"/>
          <w:lang w:val="sr-Cyrl-RS"/>
        </w:rPr>
      </w:pPr>
      <w:r>
        <w:rPr>
          <w:rFonts w:eastAsiaTheme="minorEastAsia"/>
          <w:lang w:val="uz-Cyrl-UZ"/>
        </w:rPr>
        <w:t xml:space="preserve">Режим кретања може да се опише тиме што </w:t>
      </w:r>
      <w:r w:rsidR="00A77703">
        <w:rPr>
          <w:rFonts w:eastAsiaTheme="minorEastAsia"/>
          <w:lang w:val="uz-Cyrl-UZ"/>
        </w:rPr>
        <w:t>у сваком режиму постоји заједничко понашање: направићемо корак</w:t>
      </w:r>
      <w:r>
        <w:rPr>
          <w:rFonts w:eastAsiaTheme="minorEastAsia"/>
          <w:lang w:val="uz-Cyrl-UZ"/>
        </w:rPr>
        <w:t xml:space="preserve"> </w:t>
      </w:r>
      <m:oMath>
        <m:d>
          <m:dPr>
            <m:ctrlPr>
              <w:rPr>
                <w:rFonts w:ascii="Cambria Math" w:eastAsiaTheme="minorEastAsia" w:hAnsi="Cambria Math"/>
                <w:i/>
                <w:lang w:val="uz-Cyrl-UZ"/>
              </w:rPr>
            </m:ctrlPr>
          </m:dPr>
          <m:e>
            <m:r>
              <w:rPr>
                <w:rFonts w:ascii="Cambria Math" w:eastAsiaTheme="minorEastAsia" w:hAnsi="Cambria Math"/>
                <w:lang w:val="uz-Cyrl-UZ"/>
              </w:rPr>
              <m:t>x,y</m:t>
            </m:r>
          </m:e>
        </m:d>
        <m:r>
          <w:rPr>
            <w:rFonts w:ascii="Cambria Math" w:eastAsiaTheme="minorEastAsia" w:hAnsi="Cambria Math"/>
            <w:lang w:val="uz-Cyrl-UZ"/>
          </w:rPr>
          <m:t>→</m:t>
        </m:r>
        <m:d>
          <m:dPr>
            <m:ctrlPr>
              <w:rPr>
                <w:rFonts w:ascii="Cambria Math" w:eastAsiaTheme="minorEastAsia" w:hAnsi="Cambria Math"/>
                <w:i/>
                <w:lang w:val="uz-Cyrl-UZ"/>
              </w:rPr>
            </m:ctrlPr>
          </m:dPr>
          <m:e>
            <m:r>
              <w:rPr>
                <w:rFonts w:ascii="Cambria Math" w:eastAsiaTheme="minorEastAsia" w:hAnsi="Cambria Math"/>
                <w:lang w:val="uz-Cyrl-UZ"/>
              </w:rPr>
              <m:t>x+dx,y+dy</m:t>
            </m:r>
          </m:e>
        </m:d>
      </m:oMath>
      <w:r w:rsidR="00A77703">
        <w:rPr>
          <w:rFonts w:eastAsiaTheme="minorEastAsia"/>
          <w:lang w:val="uz-Cyrl-UZ"/>
        </w:rPr>
        <w:t xml:space="preserve"> уколико је поље </w:t>
      </w:r>
      <m:oMath>
        <m:d>
          <m:dPr>
            <m:ctrlPr>
              <w:rPr>
                <w:rFonts w:ascii="Cambria Math" w:eastAsiaTheme="minorEastAsia" w:hAnsi="Cambria Math"/>
                <w:i/>
                <w:lang w:val="uz-Cyrl-UZ"/>
              </w:rPr>
            </m:ctrlPr>
          </m:dPr>
          <m:e>
            <m:r>
              <w:rPr>
                <w:rFonts w:ascii="Cambria Math" w:eastAsiaTheme="minorEastAsia" w:hAnsi="Cambria Math"/>
                <w:lang w:val="uz-Cyrl-UZ"/>
              </w:rPr>
              <m:t>x+dx,y+dy</m:t>
            </m:r>
          </m:e>
        </m:d>
      </m:oMath>
      <w:r w:rsidR="00A77703">
        <w:rPr>
          <w:rFonts w:eastAsiaTheme="minorEastAsia"/>
          <w:lang w:val="uz-Cyrl-UZ"/>
        </w:rPr>
        <w:t xml:space="preserve"> слободно; у супротном, мења се режим кретања јер је дошло до судара. Очигледно </w:t>
      </w:r>
      <m:oMath>
        <m:d>
          <m:dPr>
            <m:ctrlPr>
              <w:rPr>
                <w:rFonts w:ascii="Cambria Math" w:eastAsiaTheme="minorEastAsia" w:hAnsi="Cambria Math"/>
                <w:i/>
                <w:lang w:val="uz-Cyrl-UZ"/>
              </w:rPr>
            </m:ctrlPr>
          </m:dPr>
          <m:e>
            <m:r>
              <w:rPr>
                <w:rFonts w:ascii="Cambria Math" w:eastAsiaTheme="minorEastAsia" w:hAnsi="Cambria Math"/>
                <w:lang w:val="en-GB"/>
              </w:rPr>
              <m:t>dx,dy</m:t>
            </m:r>
          </m:e>
        </m:d>
      </m:oMath>
      <w:r w:rsidR="00A77703">
        <w:rPr>
          <w:rFonts w:eastAsiaTheme="minorEastAsia"/>
          <w:lang w:val="sr-Cyrl-RS"/>
        </w:rPr>
        <w:t xml:space="preserve"> варира у зависности од режима кретања, те су нам неопходна два низа </w:t>
      </w:r>
      <m:oMath>
        <m:r>
          <w:rPr>
            <w:rFonts w:ascii="Cambria Math" w:eastAsiaTheme="minorEastAsia" w:hAnsi="Cambria Math"/>
            <w:lang w:val="en-GB"/>
          </w:rPr>
          <m:t>dx</m:t>
        </m:r>
      </m:oMath>
      <w:r w:rsidR="00A77703">
        <w:rPr>
          <w:rFonts w:eastAsiaTheme="minorEastAsia"/>
          <w:lang w:val="sr-Cyrl-RS"/>
        </w:rPr>
        <w:t xml:space="preserve"> и </w:t>
      </w:r>
      <m:oMath>
        <m:r>
          <w:rPr>
            <w:rFonts w:ascii="Cambria Math" w:eastAsiaTheme="minorEastAsia" w:hAnsi="Cambria Math"/>
            <w:lang w:val="en-GB"/>
          </w:rPr>
          <m:t>dy</m:t>
        </m:r>
      </m:oMath>
      <w:r w:rsidR="00A77703">
        <w:rPr>
          <w:rFonts w:eastAsiaTheme="minorEastAsia"/>
          <w:lang w:val="sr-Cyrl-RS"/>
        </w:rPr>
        <w:t>, а њихови елементи су описани наредном табелом:</w:t>
      </w:r>
    </w:p>
    <w:tbl>
      <w:tblPr>
        <w:tblStyle w:val="TableGrid"/>
        <w:tblW w:w="0" w:type="auto"/>
        <w:jc w:val="center"/>
        <w:tblLook w:val="04A0" w:firstRow="1" w:lastRow="0" w:firstColumn="1" w:lastColumn="0" w:noHBand="0" w:noVBand="1"/>
      </w:tblPr>
      <w:tblGrid>
        <w:gridCol w:w="490"/>
        <w:gridCol w:w="328"/>
        <w:gridCol w:w="328"/>
        <w:gridCol w:w="395"/>
        <w:gridCol w:w="395"/>
      </w:tblGrid>
      <w:tr w:rsidR="00A77703" w:rsidRPr="00A77703" w14:paraId="5D959AA6" w14:textId="77777777" w:rsidTr="00A77703">
        <w:trPr>
          <w:jc w:val="center"/>
        </w:trPr>
        <w:tc>
          <w:tcPr>
            <w:tcW w:w="0" w:type="auto"/>
            <w:tcBorders>
              <w:top w:val="nil"/>
              <w:left w:val="nil"/>
              <w:tl2br w:val="single" w:sz="4" w:space="0" w:color="auto"/>
            </w:tcBorders>
          </w:tcPr>
          <w:p w14:paraId="28C9877E" w14:textId="77777777" w:rsidR="00A77703" w:rsidRPr="00A77703" w:rsidRDefault="00A77703" w:rsidP="00A77703">
            <w:pPr>
              <w:jc w:val="center"/>
              <w:rPr>
                <w:rFonts w:eastAsiaTheme="minorEastAsia"/>
                <w:b/>
                <w:bCs/>
                <w:iCs/>
                <w:lang w:val="en-GB"/>
              </w:rPr>
            </w:pPr>
          </w:p>
        </w:tc>
        <w:tc>
          <w:tcPr>
            <w:tcW w:w="0" w:type="auto"/>
            <w:tcBorders>
              <w:top w:val="nil"/>
            </w:tcBorders>
          </w:tcPr>
          <w:p w14:paraId="565FB06F" w14:textId="7BC8F9C8" w:rsidR="00A77703" w:rsidRPr="00A77703" w:rsidRDefault="00A77703" w:rsidP="00A77703">
            <w:pPr>
              <w:jc w:val="center"/>
              <w:rPr>
                <w:rFonts w:eastAsiaTheme="minorEastAsia"/>
                <w:b/>
                <w:bCs/>
                <w:iCs/>
                <w:lang w:val="en-GB"/>
              </w:rPr>
            </w:pPr>
            <w:r w:rsidRPr="00A77703">
              <w:rPr>
                <w:rFonts w:eastAsiaTheme="minorEastAsia"/>
                <w:b/>
                <w:bCs/>
                <w:iCs/>
                <w:lang w:val="en-GB"/>
              </w:rPr>
              <w:t>0</w:t>
            </w:r>
          </w:p>
        </w:tc>
        <w:tc>
          <w:tcPr>
            <w:tcW w:w="0" w:type="auto"/>
            <w:tcBorders>
              <w:top w:val="nil"/>
            </w:tcBorders>
          </w:tcPr>
          <w:p w14:paraId="30006CFD" w14:textId="68236BC2" w:rsidR="00A77703" w:rsidRPr="00A77703" w:rsidRDefault="00A77703" w:rsidP="00A77703">
            <w:pPr>
              <w:jc w:val="center"/>
              <w:rPr>
                <w:rFonts w:eastAsiaTheme="minorEastAsia"/>
                <w:b/>
                <w:bCs/>
                <w:iCs/>
                <w:lang w:val="en-GB"/>
              </w:rPr>
            </w:pPr>
            <w:r w:rsidRPr="00A77703">
              <w:rPr>
                <w:rFonts w:eastAsiaTheme="minorEastAsia"/>
                <w:b/>
                <w:bCs/>
                <w:iCs/>
                <w:lang w:val="en-GB"/>
              </w:rPr>
              <w:t>1</w:t>
            </w:r>
          </w:p>
        </w:tc>
        <w:tc>
          <w:tcPr>
            <w:tcW w:w="0" w:type="auto"/>
            <w:tcBorders>
              <w:top w:val="nil"/>
            </w:tcBorders>
          </w:tcPr>
          <w:p w14:paraId="1B61F782" w14:textId="31E9E64A" w:rsidR="00A77703" w:rsidRPr="00A77703" w:rsidRDefault="00A77703" w:rsidP="00A77703">
            <w:pPr>
              <w:jc w:val="center"/>
              <w:rPr>
                <w:rFonts w:eastAsiaTheme="minorEastAsia"/>
                <w:b/>
                <w:bCs/>
                <w:iCs/>
                <w:lang w:val="en-GB"/>
              </w:rPr>
            </w:pPr>
            <w:r w:rsidRPr="00A77703">
              <w:rPr>
                <w:rFonts w:eastAsiaTheme="minorEastAsia"/>
                <w:b/>
                <w:bCs/>
                <w:iCs/>
                <w:lang w:val="en-GB"/>
              </w:rPr>
              <w:t>2</w:t>
            </w:r>
          </w:p>
        </w:tc>
        <w:tc>
          <w:tcPr>
            <w:tcW w:w="0" w:type="auto"/>
            <w:tcBorders>
              <w:top w:val="nil"/>
              <w:right w:val="nil"/>
            </w:tcBorders>
          </w:tcPr>
          <w:p w14:paraId="186108A7" w14:textId="7534858A" w:rsidR="00A77703" w:rsidRPr="00A77703" w:rsidRDefault="00A77703" w:rsidP="00A77703">
            <w:pPr>
              <w:jc w:val="center"/>
              <w:rPr>
                <w:rFonts w:eastAsiaTheme="minorEastAsia"/>
                <w:b/>
                <w:bCs/>
                <w:iCs/>
                <w:lang w:val="en-GB"/>
              </w:rPr>
            </w:pPr>
            <w:r w:rsidRPr="00A77703">
              <w:rPr>
                <w:rFonts w:eastAsiaTheme="minorEastAsia"/>
                <w:b/>
                <w:bCs/>
                <w:iCs/>
                <w:lang w:val="en-GB"/>
              </w:rPr>
              <w:t>3</w:t>
            </w:r>
          </w:p>
        </w:tc>
      </w:tr>
      <w:tr w:rsidR="00A77703" w14:paraId="084BDE91" w14:textId="77777777" w:rsidTr="00A77703">
        <w:trPr>
          <w:jc w:val="center"/>
        </w:trPr>
        <w:tc>
          <w:tcPr>
            <w:tcW w:w="0" w:type="auto"/>
            <w:tcBorders>
              <w:left w:val="nil"/>
            </w:tcBorders>
          </w:tcPr>
          <w:p w14:paraId="4F5AC40C" w14:textId="0EB4649B" w:rsidR="00A77703" w:rsidRPr="00A77703" w:rsidRDefault="00A77703" w:rsidP="00A77703">
            <w:pPr>
              <w:jc w:val="center"/>
              <w:rPr>
                <w:rFonts w:eastAsiaTheme="minorEastAsia"/>
                <w:b/>
                <w:bCs/>
                <w:iCs/>
                <w:lang w:val="en-GB"/>
              </w:rPr>
            </w:pPr>
            <m:oMathPara>
              <m:oMath>
                <m:r>
                  <m:rPr>
                    <m:sty m:val="bi"/>
                  </m:rPr>
                  <w:rPr>
                    <w:rFonts w:ascii="Cambria Math" w:eastAsiaTheme="minorEastAsia" w:hAnsi="Cambria Math"/>
                    <w:lang w:val="en-GB"/>
                  </w:rPr>
                  <m:t>dx</m:t>
                </m:r>
              </m:oMath>
            </m:oMathPara>
          </w:p>
        </w:tc>
        <w:tc>
          <w:tcPr>
            <w:tcW w:w="0" w:type="auto"/>
          </w:tcPr>
          <w:p w14:paraId="681FCFDB" w14:textId="0D8011A9" w:rsidR="00A77703" w:rsidRPr="00A77703" w:rsidRDefault="00A77703" w:rsidP="00A77703">
            <w:pPr>
              <w:jc w:val="center"/>
              <w:rPr>
                <w:rFonts w:eastAsiaTheme="minorEastAsia"/>
                <w:iCs/>
                <w:lang w:val="en-GB"/>
              </w:rPr>
            </w:pPr>
            <w:r>
              <w:rPr>
                <w:rFonts w:eastAsiaTheme="minorEastAsia"/>
                <w:iCs/>
                <w:lang w:val="en-GB"/>
              </w:rPr>
              <w:t>0</w:t>
            </w:r>
          </w:p>
        </w:tc>
        <w:tc>
          <w:tcPr>
            <w:tcW w:w="0" w:type="auto"/>
          </w:tcPr>
          <w:p w14:paraId="2775FA0C" w14:textId="053246AE" w:rsidR="00A77703" w:rsidRPr="00A77703" w:rsidRDefault="00A77703" w:rsidP="00A77703">
            <w:pPr>
              <w:jc w:val="center"/>
              <w:rPr>
                <w:rFonts w:eastAsiaTheme="minorEastAsia"/>
                <w:iCs/>
                <w:lang w:val="en-GB"/>
              </w:rPr>
            </w:pPr>
            <w:r>
              <w:rPr>
                <w:rFonts w:eastAsiaTheme="minorEastAsia"/>
                <w:iCs/>
                <w:lang w:val="en-GB"/>
              </w:rPr>
              <w:t>1</w:t>
            </w:r>
          </w:p>
        </w:tc>
        <w:tc>
          <w:tcPr>
            <w:tcW w:w="0" w:type="auto"/>
          </w:tcPr>
          <w:p w14:paraId="74067101" w14:textId="74CE4338" w:rsidR="00A77703" w:rsidRPr="00A77703" w:rsidRDefault="00A77703" w:rsidP="00A77703">
            <w:pPr>
              <w:jc w:val="center"/>
              <w:rPr>
                <w:rFonts w:eastAsiaTheme="minorEastAsia"/>
                <w:iCs/>
                <w:lang w:val="en-GB"/>
              </w:rPr>
            </w:pPr>
            <w:r>
              <w:rPr>
                <w:rFonts w:eastAsiaTheme="minorEastAsia"/>
                <w:iCs/>
                <w:lang w:val="en-GB"/>
              </w:rPr>
              <w:t>0</w:t>
            </w:r>
          </w:p>
        </w:tc>
        <w:tc>
          <w:tcPr>
            <w:tcW w:w="0" w:type="auto"/>
            <w:tcBorders>
              <w:right w:val="nil"/>
            </w:tcBorders>
          </w:tcPr>
          <w:p w14:paraId="362A1A9E" w14:textId="33A4924A" w:rsidR="00A77703" w:rsidRPr="00A77703" w:rsidRDefault="00A77703" w:rsidP="00A77703">
            <w:pPr>
              <w:rPr>
                <w:rFonts w:eastAsiaTheme="minorEastAsia"/>
                <w:iCs/>
                <w:lang w:val="en-GB"/>
              </w:rPr>
            </w:pPr>
            <w:r w:rsidRPr="00A77703">
              <w:rPr>
                <w:rFonts w:eastAsiaTheme="minorEastAsia"/>
                <w:iCs/>
                <w:lang w:val="en-GB"/>
              </w:rPr>
              <w:t>-1</w:t>
            </w:r>
          </w:p>
        </w:tc>
      </w:tr>
      <w:tr w:rsidR="00A77703" w14:paraId="2595B838" w14:textId="77777777" w:rsidTr="00A77703">
        <w:trPr>
          <w:jc w:val="center"/>
        </w:trPr>
        <w:tc>
          <w:tcPr>
            <w:tcW w:w="0" w:type="auto"/>
            <w:tcBorders>
              <w:left w:val="nil"/>
              <w:bottom w:val="nil"/>
            </w:tcBorders>
          </w:tcPr>
          <w:p w14:paraId="61A618DF" w14:textId="23C257D6" w:rsidR="00A77703" w:rsidRPr="00A77703" w:rsidRDefault="00A77703" w:rsidP="00A77703">
            <w:pPr>
              <w:jc w:val="center"/>
              <w:rPr>
                <w:rFonts w:eastAsiaTheme="minorEastAsia"/>
                <w:b/>
                <w:bCs/>
                <w:iCs/>
                <w:lang w:val="en-GB"/>
              </w:rPr>
            </w:pPr>
            <m:oMathPara>
              <m:oMath>
                <m:r>
                  <m:rPr>
                    <m:sty m:val="bi"/>
                  </m:rPr>
                  <w:rPr>
                    <w:rFonts w:ascii="Cambria Math" w:eastAsiaTheme="minorEastAsia" w:hAnsi="Cambria Math"/>
                    <w:lang w:val="en-GB"/>
                  </w:rPr>
                  <m:t>dy</m:t>
                </m:r>
              </m:oMath>
            </m:oMathPara>
          </w:p>
        </w:tc>
        <w:tc>
          <w:tcPr>
            <w:tcW w:w="0" w:type="auto"/>
            <w:tcBorders>
              <w:bottom w:val="nil"/>
            </w:tcBorders>
          </w:tcPr>
          <w:p w14:paraId="3C1505B1" w14:textId="4E8F50DC" w:rsidR="00A77703" w:rsidRPr="00A77703" w:rsidRDefault="00A77703" w:rsidP="00A77703">
            <w:pPr>
              <w:jc w:val="center"/>
              <w:rPr>
                <w:rFonts w:eastAsiaTheme="minorEastAsia"/>
                <w:iCs/>
                <w:lang w:val="en-GB"/>
              </w:rPr>
            </w:pPr>
            <w:r>
              <w:rPr>
                <w:rFonts w:eastAsiaTheme="minorEastAsia"/>
                <w:iCs/>
                <w:lang w:val="en-GB"/>
              </w:rPr>
              <w:t>1</w:t>
            </w:r>
          </w:p>
        </w:tc>
        <w:tc>
          <w:tcPr>
            <w:tcW w:w="0" w:type="auto"/>
            <w:tcBorders>
              <w:bottom w:val="nil"/>
            </w:tcBorders>
          </w:tcPr>
          <w:p w14:paraId="0D88399C" w14:textId="6B1DDA44" w:rsidR="00A77703" w:rsidRPr="00A77703" w:rsidRDefault="00A77703" w:rsidP="00A77703">
            <w:pPr>
              <w:jc w:val="center"/>
              <w:rPr>
                <w:rFonts w:eastAsiaTheme="minorEastAsia"/>
                <w:iCs/>
                <w:lang w:val="en-GB"/>
              </w:rPr>
            </w:pPr>
            <w:r>
              <w:rPr>
                <w:rFonts w:eastAsiaTheme="minorEastAsia"/>
                <w:iCs/>
                <w:lang w:val="en-GB"/>
              </w:rPr>
              <w:t>0</w:t>
            </w:r>
          </w:p>
        </w:tc>
        <w:tc>
          <w:tcPr>
            <w:tcW w:w="0" w:type="auto"/>
            <w:tcBorders>
              <w:bottom w:val="nil"/>
            </w:tcBorders>
          </w:tcPr>
          <w:p w14:paraId="3E16D523" w14:textId="734B5471" w:rsidR="00A77703" w:rsidRPr="00A77703" w:rsidRDefault="00A77703" w:rsidP="00A77703">
            <w:pPr>
              <w:jc w:val="center"/>
              <w:rPr>
                <w:rFonts w:eastAsiaTheme="minorEastAsia"/>
                <w:iCs/>
                <w:lang w:val="en-GB"/>
              </w:rPr>
            </w:pPr>
            <w:r>
              <w:rPr>
                <w:rFonts w:eastAsiaTheme="minorEastAsia"/>
                <w:iCs/>
                <w:lang w:val="en-GB"/>
              </w:rPr>
              <w:t>-1</w:t>
            </w:r>
          </w:p>
        </w:tc>
        <w:tc>
          <w:tcPr>
            <w:tcW w:w="0" w:type="auto"/>
            <w:tcBorders>
              <w:bottom w:val="nil"/>
              <w:right w:val="nil"/>
            </w:tcBorders>
          </w:tcPr>
          <w:p w14:paraId="0CFB73CA" w14:textId="2BF36910" w:rsidR="00A77703" w:rsidRPr="00A77703" w:rsidRDefault="00A77703" w:rsidP="00A77703">
            <w:pPr>
              <w:jc w:val="center"/>
              <w:rPr>
                <w:rFonts w:eastAsiaTheme="minorEastAsia"/>
                <w:iCs/>
                <w:lang w:val="en-GB"/>
              </w:rPr>
            </w:pPr>
            <w:r>
              <w:rPr>
                <w:rFonts w:eastAsiaTheme="minorEastAsia"/>
                <w:iCs/>
                <w:lang w:val="en-GB"/>
              </w:rPr>
              <w:t>0</w:t>
            </w:r>
          </w:p>
        </w:tc>
      </w:tr>
    </w:tbl>
    <w:p w14:paraId="43AC27BA" w14:textId="42DAFBBE" w:rsidR="00A77703" w:rsidRDefault="00AF1B33" w:rsidP="00A77703">
      <w:pPr>
        <w:rPr>
          <w:rFonts w:eastAsiaTheme="minorEastAsia"/>
          <w:iCs/>
          <w:lang w:val="sr-Cyrl-RS"/>
        </w:rPr>
      </w:pPr>
      <w:r>
        <w:rPr>
          <w:rFonts w:eastAsiaTheme="minorEastAsia"/>
          <w:iCs/>
          <w:lang w:val="sr-Cyrl-RS"/>
        </w:rPr>
        <w:t xml:space="preserve">Уз све ово уведено, један „корак“ може да се опише наредним </w:t>
      </w:r>
      <w:proofErr w:type="spellStart"/>
      <w:r>
        <w:rPr>
          <w:rFonts w:eastAsiaTheme="minorEastAsia"/>
          <w:iCs/>
          <w:lang w:val="sr-Cyrl-RS"/>
        </w:rPr>
        <w:t>псеудокодом</w:t>
      </w:r>
      <w:proofErr w:type="spellEnd"/>
      <w:r>
        <w:rPr>
          <w:rFonts w:eastAsiaTheme="minorEastAsia"/>
          <w:iCs/>
          <w:lang w:val="sr-Cyrl-RS"/>
        </w:rPr>
        <w:t>:</w:t>
      </w:r>
    </w:p>
    <w:p w14:paraId="2CE030DA" w14:textId="0BC13446" w:rsidR="00AF1B33" w:rsidRPr="00484E8E" w:rsidRDefault="00AF1B33" w:rsidP="00AF1B33">
      <w:pPr>
        <w:rPr>
          <w:rFonts w:ascii="Consolas" w:hAnsi="Consolas" w:cs="Consolas"/>
          <w:noProof/>
          <w:sz w:val="20"/>
          <w:szCs w:val="20"/>
          <w:lang w:val="en-GB"/>
        </w:rPr>
      </w:pPr>
      <w:r>
        <w:rPr>
          <w:rFonts w:ascii="Consolas" w:hAnsi="Consolas" w:cs="Consolas"/>
          <w:noProof/>
          <w:sz w:val="20"/>
          <w:szCs w:val="20"/>
          <w:lang w:val="en-GB"/>
        </w:rPr>
        <w:t xml:space="preserve">  korak(x, y):</w:t>
      </w:r>
      <w:r>
        <w:rPr>
          <w:rFonts w:ascii="Consolas" w:hAnsi="Consolas" w:cs="Consolas"/>
          <w:noProof/>
          <w:sz w:val="20"/>
          <w:szCs w:val="20"/>
          <w:lang w:val="en-GB"/>
        </w:rPr>
        <w:br/>
        <w:t xml:space="preserve">  |  ako (zauzet[x + dx[rezim], y + dy[rezim]])</w:t>
      </w:r>
      <w:r>
        <w:rPr>
          <w:rFonts w:ascii="Consolas" w:hAnsi="Consolas" w:cs="Consolas"/>
          <w:noProof/>
          <w:sz w:val="20"/>
          <w:szCs w:val="20"/>
          <w:lang w:val="en-GB"/>
        </w:rPr>
        <w:br/>
        <w:t xml:space="preserve">  |  |  onda:</w:t>
      </w:r>
      <w:r>
        <w:rPr>
          <w:rFonts w:ascii="Consolas" w:hAnsi="Consolas" w:cs="Consolas"/>
          <w:noProof/>
          <w:sz w:val="20"/>
          <w:szCs w:val="20"/>
          <w:lang w:val="en-GB"/>
        </w:rPr>
        <w:br/>
        <w:t xml:space="preserve">  |  |  |  rezim := (rezim + 1) mod 4</w:t>
      </w:r>
      <w:r>
        <w:rPr>
          <w:rFonts w:ascii="Consolas" w:hAnsi="Consolas" w:cs="Consolas"/>
          <w:noProof/>
          <w:sz w:val="20"/>
          <w:szCs w:val="20"/>
          <w:lang w:val="en-GB"/>
        </w:rPr>
        <w:br/>
        <w:t xml:space="preserve">  |  |  |  broj_sudara := broj_sudara + 1</w:t>
      </w:r>
      <w:r>
        <w:rPr>
          <w:rFonts w:ascii="Consolas" w:hAnsi="Consolas" w:cs="Consolas"/>
          <w:noProof/>
          <w:sz w:val="20"/>
          <w:szCs w:val="20"/>
          <w:lang w:val="en-GB"/>
        </w:rPr>
        <w:br/>
        <w:t xml:space="preserve">  |  |  u suprotnom: mrdni se na (x + dx[rezim], y + dy[rezim])</w:t>
      </w:r>
    </w:p>
    <w:p w14:paraId="65F873B3" w14:textId="59D73E62" w:rsidR="00AF1B33" w:rsidRDefault="00AF1B33" w:rsidP="00AF1B33">
      <w:pPr>
        <w:pStyle w:val="Heading3"/>
        <w:rPr>
          <w:lang w:val="sr-Cyrl-RS"/>
        </w:rPr>
      </w:pPr>
      <w:r>
        <w:rPr>
          <w:lang w:val="sr-Cyrl-RS"/>
        </w:rPr>
        <w:lastRenderedPageBreak/>
        <w:t>70 поена</w:t>
      </w:r>
    </w:p>
    <w:p w14:paraId="6F4C3697" w14:textId="2F849335" w:rsidR="00AF1B33" w:rsidRDefault="00AF1B33" w:rsidP="00AF1B33">
      <w:pPr>
        <w:rPr>
          <w:rFonts w:eastAsiaTheme="minorEastAsia"/>
          <w:lang w:val="uz-Cyrl-UZ"/>
        </w:rPr>
      </w:pPr>
      <w:r>
        <w:rPr>
          <w:lang w:val="sr-Cyrl-RS"/>
        </w:rPr>
        <w:t xml:space="preserve">Очигледно је да у овом случају тражимо решење које је линеарно по променљивој </w:t>
      </w:r>
      <m:oMath>
        <m:r>
          <w:rPr>
            <w:rFonts w:ascii="Cambria Math" w:hAnsi="Cambria Math"/>
            <w:lang w:val="uz-Cyrl-UZ"/>
          </w:rPr>
          <m:t>k</m:t>
        </m:r>
      </m:oMath>
      <w:r>
        <w:rPr>
          <w:rFonts w:eastAsiaTheme="minorEastAsia"/>
          <w:lang w:val="uz-Cyrl-UZ"/>
        </w:rPr>
        <w:t>. Дакле, уколико бисмо итерирали “по сударима”, између свака два судара желимо да имамо константан број операција које нам говоре до ког поља стижемо. Ово наговештава неко препроцесирање.</w:t>
      </w:r>
    </w:p>
    <w:p w14:paraId="6D26BFBF" w14:textId="19BFD146" w:rsidR="00847432" w:rsidRDefault="00AF1B33" w:rsidP="00847432">
      <w:pPr>
        <w:rPr>
          <w:rFonts w:eastAsiaTheme="minorEastAsia"/>
          <w:lang w:val="uz-Cyrl-UZ"/>
        </w:rPr>
      </w:pPr>
      <w:r>
        <w:rPr>
          <w:rFonts w:eastAsiaTheme="minorEastAsia"/>
          <w:lang w:val="uz-Cyrl-UZ"/>
        </w:rPr>
        <w:t xml:space="preserve">Приметимо да је једно Дрејково </w:t>
      </w:r>
      <w:r w:rsidRPr="00AF1B33">
        <w:rPr>
          <w:rFonts w:eastAsiaTheme="minorEastAsia"/>
          <w:b/>
          <w:bCs/>
          <w:lang w:val="uz-Cyrl-UZ"/>
        </w:rPr>
        <w:t>стање</w:t>
      </w:r>
      <w:r>
        <w:rPr>
          <w:rFonts w:eastAsiaTheme="minorEastAsia"/>
          <w:lang w:val="uz-Cyrl-UZ"/>
        </w:rPr>
        <w:t xml:space="preserve"> описано положајем и актуелним режимом кретања и да јединствено одређује стање након следећег судара са зидом. Конкретно, </w:t>
      </w:r>
      <w:r w:rsidR="00847432">
        <w:rPr>
          <w:rFonts w:eastAsiaTheme="minorEastAsia"/>
          <w:lang w:val="uz-Cyrl-UZ"/>
        </w:rPr>
        <w:t>имамо неколико случајева:</w:t>
      </w:r>
    </w:p>
    <w:p w14:paraId="6984766B" w14:textId="6D35E68D" w:rsidR="00847432" w:rsidRPr="00847432" w:rsidRDefault="00847432" w:rsidP="00847432">
      <w:pPr>
        <w:pStyle w:val="ListParagraph"/>
        <w:numPr>
          <w:ilvl w:val="0"/>
          <w:numId w:val="5"/>
        </w:numPr>
        <w:rPr>
          <w:lang w:val="sr-Cyrl-RS"/>
        </w:rPr>
      </w:pPr>
      <w:r>
        <w:rPr>
          <w:lang w:val="sr-Cyrl-RS"/>
        </w:rPr>
        <w:t xml:space="preserve">очигледно је немогуће да се </w:t>
      </w:r>
      <w:proofErr w:type="spellStart"/>
      <w:r>
        <w:rPr>
          <w:lang w:val="sr-Cyrl-RS"/>
        </w:rPr>
        <w:t>Дрејко</w:t>
      </w:r>
      <w:proofErr w:type="spellEnd"/>
      <w:r>
        <w:rPr>
          <w:lang w:val="sr-Cyrl-RS"/>
        </w:rPr>
        <w:t xml:space="preserve"> нађе „у зиду“, па нас такви случајеви не занимају;</w:t>
      </w:r>
    </w:p>
    <w:p w14:paraId="3129E6B6" w14:textId="4C5BCB23" w:rsidR="00AF1B33" w:rsidRPr="00847432" w:rsidRDefault="00847432" w:rsidP="00847432">
      <w:pPr>
        <w:pStyle w:val="ListParagraph"/>
        <w:numPr>
          <w:ilvl w:val="0"/>
          <w:numId w:val="5"/>
        </w:numPr>
        <w:rPr>
          <w:lang w:val="sr-Cyrl-RS"/>
        </w:rPr>
      </w:pPr>
      <w:r>
        <w:rPr>
          <w:rFonts w:eastAsiaTheme="minorEastAsia"/>
          <w:lang w:val="uz-Cyrl-UZ"/>
        </w:rPr>
        <w:t xml:space="preserve">ако је </w:t>
      </w:r>
      <w:r w:rsidRPr="00847432">
        <w:rPr>
          <w:rFonts w:eastAsiaTheme="minorEastAsia"/>
          <w:lang w:val="uz-Cyrl-UZ"/>
        </w:rPr>
        <w:t>Дрејко одмах поред неког зида и уколико је усмерен ка њему, стање ће одговарати само</w:t>
      </w:r>
      <w:r>
        <w:rPr>
          <w:rFonts w:eastAsiaTheme="minorEastAsia"/>
          <w:lang w:val="uz-Cyrl-UZ"/>
        </w:rPr>
        <w:t xml:space="preserve"> промењеном режиму кретања;</w:t>
      </w:r>
    </w:p>
    <w:p w14:paraId="330415AE" w14:textId="3482B58F" w:rsidR="00847432" w:rsidRPr="00847432" w:rsidRDefault="00847432" w:rsidP="00847432">
      <w:pPr>
        <w:pStyle w:val="ListParagraph"/>
        <w:numPr>
          <w:ilvl w:val="0"/>
          <w:numId w:val="5"/>
        </w:numPr>
        <w:rPr>
          <w:lang w:val="sr-Cyrl-RS"/>
        </w:rPr>
      </w:pPr>
      <w:r>
        <w:rPr>
          <w:lang w:val="sr-Cyrl-RS"/>
        </w:rPr>
        <w:t>у супротном, судар</w:t>
      </w:r>
      <w:r w:rsidR="006B6099">
        <w:rPr>
          <w:lang w:val="sr-Cyrl-RS"/>
        </w:rPr>
        <w:t xml:space="preserve"> (тј. стање након наредног судара)</w:t>
      </w:r>
      <w:r>
        <w:rPr>
          <w:lang w:val="sr-Cyrl-RS"/>
        </w:rPr>
        <w:t xml:space="preserve"> до ког нас води тренутно кретање одговара судару до ког нас води поље на ком ћемо се налазити у следећем кораку (видети слику).</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441"/>
        <w:gridCol w:w="441"/>
        <w:gridCol w:w="436"/>
        <w:gridCol w:w="563"/>
      </w:tblGrid>
      <w:tr w:rsidR="006B6099" w:rsidRPr="00847432" w14:paraId="64901301" w14:textId="77777777" w:rsidTr="006B6099">
        <w:trPr>
          <w:trHeight w:val="284"/>
          <w:jc w:val="center"/>
        </w:trPr>
        <w:tc>
          <w:tcPr>
            <w:tcW w:w="441" w:type="dxa"/>
            <w:vAlign w:val="center"/>
          </w:tcPr>
          <w:p w14:paraId="5D502DCC" w14:textId="77777777" w:rsidR="006B6099" w:rsidRPr="00847432" w:rsidRDefault="006B6099" w:rsidP="00847432">
            <w:pPr>
              <w:jc w:val="center"/>
              <w:rPr>
                <w:rFonts w:asciiTheme="minorBidi" w:hAnsiTheme="minorBidi"/>
                <w:lang w:val="en-GB"/>
              </w:rPr>
            </w:pPr>
          </w:p>
        </w:tc>
        <w:tc>
          <w:tcPr>
            <w:tcW w:w="441" w:type="dxa"/>
          </w:tcPr>
          <w:p w14:paraId="20F6A6C7" w14:textId="77777777" w:rsidR="006B6099" w:rsidRPr="00847432" w:rsidRDefault="006B6099" w:rsidP="00847432">
            <w:pPr>
              <w:jc w:val="center"/>
              <w:rPr>
                <w:rFonts w:asciiTheme="minorBidi" w:hAnsiTheme="minorBidi"/>
                <w:lang w:val="en-GB"/>
              </w:rPr>
            </w:pPr>
          </w:p>
        </w:tc>
        <w:tc>
          <w:tcPr>
            <w:tcW w:w="441" w:type="dxa"/>
            <w:vAlign w:val="center"/>
          </w:tcPr>
          <w:p w14:paraId="67F9CC24" w14:textId="63F09E52" w:rsidR="006B6099" w:rsidRPr="00847432" w:rsidRDefault="006B6099" w:rsidP="00847432">
            <w:pPr>
              <w:jc w:val="center"/>
              <w:rPr>
                <w:rFonts w:asciiTheme="minorBidi" w:hAnsiTheme="minorBidi"/>
                <w:lang w:val="en-GB"/>
              </w:rPr>
            </w:pPr>
          </w:p>
        </w:tc>
        <w:tc>
          <w:tcPr>
            <w:tcW w:w="436" w:type="dxa"/>
            <w:vAlign w:val="center"/>
          </w:tcPr>
          <w:p w14:paraId="75196388" w14:textId="669C267A" w:rsidR="006B6099" w:rsidRPr="00847432" w:rsidRDefault="006B6099" w:rsidP="00847432">
            <w:pPr>
              <w:jc w:val="center"/>
              <w:rPr>
                <w:rFonts w:asciiTheme="minorBidi" w:hAnsiTheme="minorBidi"/>
                <w:lang w:val="en-GB"/>
              </w:rPr>
            </w:pPr>
          </w:p>
        </w:tc>
        <w:tc>
          <w:tcPr>
            <w:tcW w:w="563" w:type="dxa"/>
            <w:vAlign w:val="center"/>
          </w:tcPr>
          <w:p w14:paraId="6A0C4C2B" w14:textId="77777777" w:rsidR="006B6099" w:rsidRPr="00847432" w:rsidRDefault="006B6099" w:rsidP="00847432">
            <w:pPr>
              <w:jc w:val="center"/>
              <w:rPr>
                <w:rFonts w:asciiTheme="minorBidi" w:hAnsiTheme="minorBidi"/>
                <w:lang w:val="en-GB"/>
              </w:rPr>
            </w:pPr>
          </w:p>
        </w:tc>
      </w:tr>
      <w:tr w:rsidR="006B6099" w:rsidRPr="00847432" w14:paraId="17785751" w14:textId="77777777" w:rsidTr="006B6099">
        <w:trPr>
          <w:trHeight w:val="284"/>
          <w:jc w:val="center"/>
        </w:trPr>
        <w:tc>
          <w:tcPr>
            <w:tcW w:w="441" w:type="dxa"/>
            <w:vAlign w:val="center"/>
          </w:tcPr>
          <w:p w14:paraId="06360255" w14:textId="279FEF1C" w:rsidR="006B6099" w:rsidRPr="004C2070" w:rsidRDefault="006B6099" w:rsidP="00847432">
            <w:pPr>
              <w:jc w:val="center"/>
              <w:rPr>
                <w:rFonts w:asciiTheme="minorBidi" w:hAnsiTheme="minorBidi"/>
                <w:sz w:val="28"/>
                <w:szCs w:val="28"/>
                <w:lang w:val="en-GB"/>
              </w:rPr>
            </w:pPr>
            <w:r w:rsidRPr="004C2070">
              <w:rPr>
                <w:rFonts w:asciiTheme="minorBidi" w:hAnsiTheme="minorBidi"/>
                <w:sz w:val="28"/>
                <w:szCs w:val="28"/>
                <w:lang w:val="en-GB"/>
              </w:rPr>
              <w:t>☺</w:t>
            </w:r>
          </w:p>
        </w:tc>
        <w:tc>
          <w:tcPr>
            <w:tcW w:w="441" w:type="dxa"/>
          </w:tcPr>
          <w:p w14:paraId="202060C1" w14:textId="1B596B0A" w:rsidR="006B6099" w:rsidRPr="00847432" w:rsidRDefault="006B6099" w:rsidP="00847432">
            <w:pPr>
              <w:jc w:val="center"/>
              <w:rPr>
                <w:rFonts w:asciiTheme="minorBidi" w:hAnsiTheme="minorBidi"/>
                <w:color w:val="833C0B" w:themeColor="accent2" w:themeShade="80"/>
                <w:lang w:val="en-GB"/>
              </w:rPr>
            </w:pPr>
            <m:oMathPara>
              <m:oMath>
                <m:r>
                  <w:rPr>
                    <w:rFonts w:ascii="Cambria Math" w:hAnsi="Cambria Math"/>
                    <w:lang w:val="en-GB"/>
                  </w:rPr>
                  <m:t>→</m:t>
                </m:r>
              </m:oMath>
            </m:oMathPara>
          </w:p>
        </w:tc>
        <w:tc>
          <w:tcPr>
            <w:tcW w:w="441" w:type="dxa"/>
            <w:vAlign w:val="center"/>
          </w:tcPr>
          <w:p w14:paraId="610418BF" w14:textId="3168E4DB" w:rsidR="006B6099" w:rsidRPr="00847432" w:rsidRDefault="006B6099" w:rsidP="00847432">
            <w:pPr>
              <w:jc w:val="center"/>
              <w:rPr>
                <w:rFonts w:asciiTheme="minorBidi" w:hAnsiTheme="minorBidi"/>
                <w:lang w:val="en-GB"/>
              </w:rPr>
            </w:pPr>
            <w:r w:rsidRPr="00847432">
              <w:rPr>
                <w:rFonts w:asciiTheme="minorBidi" w:hAnsiTheme="minorBidi"/>
                <w:color w:val="833C0B" w:themeColor="accent2" w:themeShade="80"/>
                <w:lang w:val="en-GB"/>
              </w:rPr>
              <w:t>☺</w:t>
            </w:r>
          </w:p>
        </w:tc>
        <w:tc>
          <w:tcPr>
            <w:tcW w:w="436" w:type="dxa"/>
            <w:vAlign w:val="center"/>
          </w:tcPr>
          <w:p w14:paraId="7536351E" w14:textId="29AD8E99" w:rsidR="006B6099" w:rsidRPr="006B6099" w:rsidRDefault="006B6099" w:rsidP="006B6099">
            <w:pPr>
              <w:jc w:val="center"/>
              <w:rPr>
                <w:rFonts w:asciiTheme="minorBidi" w:hAnsiTheme="minorBidi"/>
                <w:i/>
                <w:lang w:val="sr-Cyrl-RS"/>
              </w:rPr>
            </w:pPr>
            <m:oMathPara>
              <m:oMath>
                <m:r>
                  <w:rPr>
                    <w:rFonts w:ascii="Cambria Math" w:hAnsi="Cambria Math"/>
                    <w:lang w:val="en-GB"/>
                  </w:rPr>
                  <m:t>⇝</m:t>
                </m:r>
              </m:oMath>
            </m:oMathPara>
          </w:p>
        </w:tc>
        <w:tc>
          <w:tcPr>
            <w:tcW w:w="563" w:type="dxa"/>
            <w:vAlign w:val="center"/>
          </w:tcPr>
          <w:p w14:paraId="3BA0C905" w14:textId="3307B4AE" w:rsidR="006B6099" w:rsidRPr="00847432" w:rsidRDefault="006B6099" w:rsidP="00847432">
            <w:pPr>
              <w:jc w:val="center"/>
              <w:rPr>
                <w:rFonts w:asciiTheme="minorBidi" w:hAnsiTheme="minorBidi"/>
                <w:lang w:val="en-GB"/>
              </w:rPr>
            </w:pPr>
            <w:r w:rsidRPr="00847432">
              <w:rPr>
                <w:rFonts w:asciiTheme="minorBidi" w:hAnsiTheme="minorBidi"/>
                <w:color w:val="833C0B" w:themeColor="accent2" w:themeShade="80"/>
                <w:lang w:val="en-GB"/>
              </w:rPr>
              <w:t>☺</w:t>
            </w:r>
            <w:r w:rsidRPr="004C2070">
              <w:rPr>
                <w:b/>
                <w:bCs/>
                <w:color w:val="595959" w:themeColor="text1" w:themeTint="A6"/>
                <w:lang w:val="en-GB"/>
              </w:rPr>
              <w:t>#</w:t>
            </w:r>
          </w:p>
        </w:tc>
      </w:tr>
      <w:tr w:rsidR="006B6099" w:rsidRPr="00847432" w14:paraId="29C23C0E" w14:textId="77777777" w:rsidTr="006B6099">
        <w:trPr>
          <w:trHeight w:val="284"/>
          <w:jc w:val="center"/>
        </w:trPr>
        <w:tc>
          <w:tcPr>
            <w:tcW w:w="441" w:type="dxa"/>
            <w:vAlign w:val="center"/>
          </w:tcPr>
          <w:p w14:paraId="7EBA8D8C" w14:textId="77777777" w:rsidR="006B6099" w:rsidRPr="00847432" w:rsidRDefault="006B6099" w:rsidP="00847432">
            <w:pPr>
              <w:jc w:val="center"/>
              <w:rPr>
                <w:rFonts w:asciiTheme="minorBidi" w:hAnsiTheme="minorBidi"/>
                <w:lang w:val="en-GB"/>
              </w:rPr>
            </w:pPr>
          </w:p>
        </w:tc>
        <w:tc>
          <w:tcPr>
            <w:tcW w:w="441" w:type="dxa"/>
          </w:tcPr>
          <w:p w14:paraId="6A01B4AD" w14:textId="77777777" w:rsidR="006B6099" w:rsidRPr="00847432" w:rsidRDefault="006B6099" w:rsidP="00847432">
            <w:pPr>
              <w:jc w:val="center"/>
              <w:rPr>
                <w:rFonts w:asciiTheme="minorBidi" w:hAnsiTheme="minorBidi"/>
                <w:lang w:val="en-GB"/>
              </w:rPr>
            </w:pPr>
          </w:p>
        </w:tc>
        <w:tc>
          <w:tcPr>
            <w:tcW w:w="441" w:type="dxa"/>
            <w:vAlign w:val="center"/>
          </w:tcPr>
          <w:p w14:paraId="55D52CDE" w14:textId="152C92A0" w:rsidR="006B6099" w:rsidRPr="00847432" w:rsidRDefault="006B6099" w:rsidP="00847432">
            <w:pPr>
              <w:jc w:val="center"/>
              <w:rPr>
                <w:rFonts w:asciiTheme="minorBidi" w:hAnsiTheme="minorBidi"/>
                <w:lang w:val="en-GB"/>
              </w:rPr>
            </w:pPr>
          </w:p>
        </w:tc>
        <w:tc>
          <w:tcPr>
            <w:tcW w:w="436" w:type="dxa"/>
            <w:vAlign w:val="center"/>
          </w:tcPr>
          <w:p w14:paraId="6E2727F9" w14:textId="77777777" w:rsidR="006B6099" w:rsidRPr="00847432" w:rsidRDefault="006B6099" w:rsidP="00847432">
            <w:pPr>
              <w:jc w:val="center"/>
              <w:rPr>
                <w:rFonts w:asciiTheme="minorBidi" w:hAnsiTheme="minorBidi"/>
                <w:lang w:val="en-GB"/>
              </w:rPr>
            </w:pPr>
          </w:p>
        </w:tc>
        <w:tc>
          <w:tcPr>
            <w:tcW w:w="563" w:type="dxa"/>
            <w:vAlign w:val="center"/>
          </w:tcPr>
          <w:p w14:paraId="6F3567CD" w14:textId="77777777" w:rsidR="006B6099" w:rsidRPr="00847432" w:rsidRDefault="006B6099" w:rsidP="00847432">
            <w:pPr>
              <w:jc w:val="center"/>
              <w:rPr>
                <w:rFonts w:asciiTheme="minorBidi" w:hAnsiTheme="minorBidi"/>
                <w:lang w:val="en-GB"/>
              </w:rPr>
            </w:pPr>
          </w:p>
        </w:tc>
      </w:tr>
    </w:tbl>
    <w:p w14:paraId="75346544" w14:textId="34ADC0C2" w:rsidR="00847432" w:rsidRPr="006B6099" w:rsidRDefault="00847432" w:rsidP="006B6099">
      <w:pPr>
        <w:rPr>
          <w:lang w:val="sr-Cyrl-RS"/>
        </w:rPr>
      </w:pPr>
      <w:r>
        <w:rPr>
          <w:lang w:val="uz-Cyrl-UZ"/>
        </w:rPr>
        <w:t>Последња чињеница је најважнија и поприлично усложњава решење.</w:t>
      </w:r>
      <w:r w:rsidR="006B6099">
        <w:rPr>
          <w:rStyle w:val="FootnoteReference"/>
          <w:lang w:val="uz-Cyrl-UZ"/>
        </w:rPr>
        <w:footnoteReference w:id="1"/>
      </w:r>
      <w:r>
        <w:rPr>
          <w:lang w:val="uz-Cyrl-UZ"/>
        </w:rPr>
        <w:t xml:space="preserve"> </w:t>
      </w:r>
      <w:r w:rsidR="006B6099">
        <w:rPr>
          <w:lang w:val="uz-Cyrl-UZ"/>
        </w:rPr>
        <w:t xml:space="preserve">Дакле, неопходно је одредити за сваки пар </w:t>
      </w:r>
      <m:oMath>
        <m:d>
          <m:dPr>
            <m:ctrlPr>
              <w:rPr>
                <w:rFonts w:ascii="Cambria Math" w:hAnsi="Cambria Math"/>
                <w:i/>
                <w:lang w:val="uz-Cyrl-UZ"/>
              </w:rPr>
            </m:ctrlPr>
          </m:dPr>
          <m:e>
            <m:r>
              <m:rPr>
                <m:nor/>
              </m:rPr>
              <w:rPr>
                <w:rFonts w:ascii="Cambria Math" w:hAnsi="Cambria Math"/>
                <w:lang w:val="uz-Cyrl-UZ"/>
              </w:rPr>
              <m:t>режим</m:t>
            </m:r>
            <m:r>
              <w:rPr>
                <w:rFonts w:ascii="Cambria Math" w:hAnsi="Cambria Math"/>
                <w:lang w:val="uz-Cyrl-UZ"/>
              </w:rPr>
              <m:t>,положај</m:t>
            </m:r>
          </m:e>
        </m:d>
      </m:oMath>
      <w:r w:rsidR="006B6099">
        <w:rPr>
          <w:rFonts w:eastAsiaTheme="minorEastAsia"/>
          <w:lang w:val="uz-Cyrl-UZ"/>
        </w:rPr>
        <w:t xml:space="preserve"> наредно стање. Ово очигледно може да се представи помоћу три низа са по три координате (координате су режим, </w:t>
      </w:r>
      <m:oMath>
        <m:r>
          <w:rPr>
            <w:rFonts w:ascii="Cambria Math" w:eastAsiaTheme="minorEastAsia" w:hAnsi="Cambria Math"/>
            <w:lang w:val="en-GB"/>
          </w:rPr>
          <m:t>x</m:t>
        </m:r>
      </m:oMath>
      <w:r w:rsidR="006B6099">
        <w:rPr>
          <w:rFonts w:eastAsiaTheme="minorEastAsia"/>
          <w:lang w:val="uz-Cyrl-UZ"/>
        </w:rPr>
        <w:t xml:space="preserve"> и </w:t>
      </w:r>
      <m:oMath>
        <m:r>
          <w:rPr>
            <w:rFonts w:ascii="Cambria Math" w:eastAsiaTheme="minorEastAsia" w:hAnsi="Cambria Math"/>
            <w:lang w:val="en-GB"/>
          </w:rPr>
          <m:t>y</m:t>
        </m:r>
      </m:oMath>
      <w:r w:rsidR="006B6099">
        <w:rPr>
          <w:rFonts w:eastAsiaTheme="minorEastAsia"/>
          <w:lang w:val="uz-Cyrl-UZ"/>
        </w:rPr>
        <w:t>), али како их израчунати? Рекурентна веза је постављена, одакле почети?</w:t>
      </w:r>
    </w:p>
    <w:p w14:paraId="2CBB8D7E" w14:textId="0FDE610A" w:rsidR="00847432" w:rsidRDefault="006B6099" w:rsidP="006B6099">
      <w:pPr>
        <w:rPr>
          <w:lang w:val="uz-Cyrl-UZ"/>
        </w:rPr>
      </w:pPr>
      <w:r>
        <w:rPr>
          <w:lang w:val="uz-Cyrl-UZ"/>
        </w:rPr>
        <w:t>Приметимо да нам при израчунавању параметара наредног стања при фиксираном режиму уопште не утичу резултати из других режима. Дакле, одговоре за “северно”, “јужно”, “источно” и “западно” можемо да рачунамо потпуно независно. Из дефиниције режима кретања долазимо до закључака:</w:t>
      </w:r>
    </w:p>
    <w:p w14:paraId="55D2B7B4" w14:textId="48C36868" w:rsidR="006B6099" w:rsidRDefault="006B6099" w:rsidP="00E4223D">
      <w:pPr>
        <w:pStyle w:val="ListParagraph"/>
        <w:numPr>
          <w:ilvl w:val="0"/>
          <w:numId w:val="6"/>
        </w:numPr>
        <w:rPr>
          <w:lang w:val="uz-Cyrl-UZ"/>
        </w:rPr>
      </w:pPr>
      <w:r>
        <w:rPr>
          <w:lang w:val="uz-Cyrl-UZ"/>
        </w:rPr>
        <w:t xml:space="preserve">наредно стање уколико је режим кретања “јужно” ће прво бити израчунато </w:t>
      </w:r>
      <w:r w:rsidR="00E4223D">
        <w:rPr>
          <w:lang w:val="uz-Cyrl-UZ"/>
        </w:rPr>
        <w:t>у смеру југ–север;</w:t>
      </w:r>
    </w:p>
    <w:p w14:paraId="09D92075" w14:textId="33819682" w:rsidR="00E4223D" w:rsidRPr="006B6099" w:rsidRDefault="00E4223D" w:rsidP="00E4223D">
      <w:pPr>
        <w:pStyle w:val="ListParagraph"/>
        <w:numPr>
          <w:ilvl w:val="0"/>
          <w:numId w:val="6"/>
        </w:numPr>
        <w:rPr>
          <w:lang w:val="uz-Cyrl-UZ"/>
        </w:rPr>
      </w:pPr>
      <w:r>
        <w:rPr>
          <w:lang w:val="uz-Cyrl-UZ"/>
        </w:rPr>
        <w:t>наредно стање уколико је режим кретања “северно” ће прво бити израчунато у смеру север–југ;</w:t>
      </w:r>
    </w:p>
    <w:p w14:paraId="69BED622" w14:textId="1D808B45" w:rsidR="00E4223D" w:rsidRPr="006B6099" w:rsidRDefault="00E4223D" w:rsidP="00E4223D">
      <w:pPr>
        <w:pStyle w:val="ListParagraph"/>
        <w:numPr>
          <w:ilvl w:val="0"/>
          <w:numId w:val="6"/>
        </w:numPr>
        <w:rPr>
          <w:lang w:val="uz-Cyrl-UZ"/>
        </w:rPr>
      </w:pPr>
      <w:r>
        <w:rPr>
          <w:lang w:val="uz-Cyrl-UZ"/>
        </w:rPr>
        <w:t>наредно стање уколико је режим кретања “источно” ће прво бити израчунато у смеру исток–запад;</w:t>
      </w:r>
    </w:p>
    <w:p w14:paraId="1B864A32" w14:textId="79CEE391" w:rsidR="00E4223D" w:rsidRPr="00E4223D" w:rsidRDefault="00E4223D" w:rsidP="00E4223D">
      <w:pPr>
        <w:pStyle w:val="ListParagraph"/>
        <w:numPr>
          <w:ilvl w:val="0"/>
          <w:numId w:val="6"/>
        </w:numPr>
        <w:rPr>
          <w:lang w:val="uz-Cyrl-UZ"/>
        </w:rPr>
      </w:pPr>
      <w:r>
        <w:rPr>
          <w:lang w:val="uz-Cyrl-UZ"/>
        </w:rPr>
        <w:t>наредно стање уколико је режим кретања “јужно” ће прво бити израчунато у смеру запад–исток.</w:t>
      </w:r>
    </w:p>
    <w:p w14:paraId="4D830EDB" w14:textId="7A8093F4" w:rsidR="00756DA9" w:rsidRDefault="00E104C1" w:rsidP="00E104C1">
      <w:pPr>
        <w:rPr>
          <w:lang w:val="uz-Cyrl-UZ"/>
        </w:rPr>
      </w:pPr>
      <w:r>
        <w:rPr>
          <w:lang w:val="uz-Cyrl-UZ"/>
        </w:rPr>
        <w:t>Дакле, можемо да попуњавамо стања у четири матрице (у неким имплементацијама можда и осам матрица – Дрејкова усмереност и врста координате на коју се односи)</w:t>
      </w:r>
    </w:p>
    <w:p w14:paraId="761DE294" w14:textId="450CDF6F" w:rsidR="00847432" w:rsidRDefault="00E4223D" w:rsidP="00E4223D">
      <w:pPr>
        <w:rPr>
          <w:lang w:val="uz-Cyrl-UZ"/>
        </w:rPr>
      </w:pPr>
      <w:r>
        <w:rPr>
          <w:lang w:val="uz-Cyrl-UZ"/>
        </w:rPr>
        <w:t>Сада је уопштавање свих ових случајева нешто компликованије и једна процедура која би генерисала наредна стања при фиксном режиму би била имала нешто неразумљивији облик. Зато се предлаже да се у овом решењу “жртвује” модуларност кода зарад једноставности.</w:t>
      </w:r>
    </w:p>
    <w:p w14:paraId="2B84623D" w14:textId="77EEF205" w:rsidR="00E4223D" w:rsidRPr="00E4223D" w:rsidRDefault="00E4223D" w:rsidP="00E4223D">
      <w:pPr>
        <w:rPr>
          <w:lang w:val="sr-Cyrl-RS"/>
        </w:rPr>
      </w:pPr>
      <w:r>
        <w:rPr>
          <w:lang w:val="uz-Cyrl-UZ"/>
        </w:rPr>
        <w:t xml:space="preserve">Дакле, за решење у ком се најпре препроцесирају “ланци” стања у </w:t>
      </w:r>
      <m:oMath>
        <m:r>
          <w:rPr>
            <w:rFonts w:ascii="Cambria Math" w:hAnsi="Cambria Math"/>
            <w:lang w:val="uz-Cyrl-UZ"/>
          </w:rPr>
          <m:t>O</m:t>
        </m:r>
        <m:d>
          <m:dPr>
            <m:ctrlPr>
              <w:rPr>
                <w:rFonts w:ascii="Cambria Math" w:hAnsi="Cambria Math"/>
                <w:i/>
                <w:lang w:val="uz-Cyrl-UZ"/>
              </w:rPr>
            </m:ctrlPr>
          </m:dPr>
          <m:e>
            <m:r>
              <w:rPr>
                <w:rFonts w:ascii="Cambria Math" w:hAnsi="Cambria Math"/>
                <w:lang w:val="uz-Cyrl-UZ"/>
              </w:rPr>
              <m:t>mn</m:t>
            </m:r>
          </m:e>
        </m:d>
      </m:oMath>
      <w:r>
        <w:rPr>
          <w:rFonts w:eastAsiaTheme="minorEastAsia"/>
          <w:lang w:val="uz-Cyrl-UZ"/>
        </w:rPr>
        <w:t xml:space="preserve">, након чега се у </w:t>
      </w:r>
      <m:oMath>
        <m:r>
          <w:rPr>
            <w:rFonts w:ascii="Cambria Math" w:hAnsi="Cambria Math"/>
            <w:lang w:val="uz-Cyrl-UZ"/>
          </w:rPr>
          <m:t>O</m:t>
        </m:r>
        <m:d>
          <m:dPr>
            <m:ctrlPr>
              <w:rPr>
                <w:rFonts w:ascii="Cambria Math" w:hAnsi="Cambria Math"/>
                <w:i/>
                <w:lang w:val="uz-Cyrl-UZ"/>
              </w:rPr>
            </m:ctrlPr>
          </m:dPr>
          <m:e>
            <m:r>
              <w:rPr>
                <w:rFonts w:ascii="Cambria Math" w:hAnsi="Cambria Math"/>
                <w:lang w:val="uz-Cyrl-UZ"/>
              </w:rPr>
              <m:t>k</m:t>
            </m:r>
          </m:e>
        </m:d>
      </m:oMath>
      <w:r>
        <w:rPr>
          <w:rFonts w:eastAsiaTheme="minorEastAsia"/>
          <w:lang w:val="sr-Cyrl-RS"/>
        </w:rPr>
        <w:t xml:space="preserve"> размотре сви судари, предвиђено је 70 поена.</w:t>
      </w:r>
    </w:p>
    <w:p w14:paraId="19E48B9B" w14:textId="69988D1C" w:rsidR="00E4223D" w:rsidRDefault="00E4223D" w:rsidP="00E4223D">
      <w:pPr>
        <w:pStyle w:val="Heading3"/>
        <w:rPr>
          <w:lang w:val="uz-Cyrl-UZ"/>
        </w:rPr>
      </w:pPr>
      <w:r>
        <w:rPr>
          <w:lang w:val="uz-Cyrl-UZ"/>
        </w:rPr>
        <w:lastRenderedPageBreak/>
        <w:t>100 поена</w:t>
      </w:r>
    </w:p>
    <w:p w14:paraId="46168928" w14:textId="7DBBA5E8" w:rsidR="00E4223D" w:rsidRDefault="00E4223D" w:rsidP="007B73BB">
      <w:pPr>
        <w:rPr>
          <w:rFonts w:eastAsiaTheme="minorEastAsia"/>
          <w:lang w:val="sr-Cyrl-RS"/>
        </w:rPr>
      </w:pPr>
      <w:r>
        <w:rPr>
          <w:lang w:val="uz-Cyrl-UZ"/>
        </w:rPr>
        <w:t xml:space="preserve">Уведимо појам стања као у решењу за 70 поена. Приметимо да их нема више од </w:t>
      </w:r>
      <m:oMath>
        <m:r>
          <w:rPr>
            <w:rFonts w:ascii="Cambria Math" w:hAnsi="Cambria Math"/>
            <w:lang w:val="uz-Cyrl-UZ"/>
          </w:rPr>
          <m:t>4mn</m:t>
        </m:r>
      </m:oMath>
      <w:r>
        <w:rPr>
          <w:rFonts w:eastAsiaTheme="minorEastAsia"/>
          <w:lang w:val="sr-Cyrl-RS"/>
        </w:rPr>
        <w:t>: за сваки положај постоје четири режима кретања. Уколико је дат било који довољно дугачак низ стања</w:t>
      </w:r>
      <w:r w:rsidR="007B73BB">
        <w:rPr>
          <w:rFonts w:eastAsiaTheme="minorEastAsia"/>
          <w:lang w:val="sr-Cyrl-RS"/>
        </w:rPr>
        <w:t xml:space="preserve"> (дужине бар </w:t>
      </w:r>
      <m:oMath>
        <m:r>
          <w:rPr>
            <w:rFonts w:ascii="Cambria Math" w:hAnsi="Cambria Math"/>
            <w:lang w:val="uz-Cyrl-UZ"/>
          </w:rPr>
          <m:t>4mn+1</m:t>
        </m:r>
      </m:oMath>
      <w:r w:rsidR="007B73BB">
        <w:rPr>
          <w:rFonts w:eastAsiaTheme="minorEastAsia"/>
          <w:lang w:val="sr-Cyrl-RS"/>
        </w:rPr>
        <w:t>)</w:t>
      </w:r>
      <w:r>
        <w:rPr>
          <w:rFonts w:eastAsiaTheme="minorEastAsia"/>
          <w:lang w:val="sr-Cyrl-RS"/>
        </w:rPr>
        <w:t>, у њему ће се неко стање сигурно наћи бар два пута (</w:t>
      </w:r>
      <w:proofErr w:type="spellStart"/>
      <w:r>
        <w:rPr>
          <w:rFonts w:eastAsiaTheme="minorEastAsia"/>
          <w:lang w:val="sr-Cyrl-RS"/>
        </w:rPr>
        <w:t>Дирихлеов</w:t>
      </w:r>
      <w:proofErr w:type="spellEnd"/>
      <w:r>
        <w:rPr>
          <w:rFonts w:eastAsiaTheme="minorEastAsia"/>
          <w:lang w:val="sr-Cyrl-RS"/>
        </w:rPr>
        <w:t xml:space="preserve"> принцип). Међутим, пошто је наредно стање увек унапред одређено</w:t>
      </w:r>
      <w:r w:rsidR="007B73BB">
        <w:rPr>
          <w:rFonts w:eastAsiaTheme="minorEastAsia"/>
          <w:lang w:val="sr-Cyrl-RS"/>
        </w:rPr>
        <w:t xml:space="preserve">, закључујемо да је </w:t>
      </w:r>
      <w:r w:rsidR="007B73BB" w:rsidRPr="007B73BB">
        <w:rPr>
          <w:rFonts w:eastAsiaTheme="minorEastAsia"/>
          <w:b/>
          <w:bCs/>
          <w:lang w:val="sr-Cyrl-RS"/>
        </w:rPr>
        <w:t>низ стања периодичан</w:t>
      </w:r>
      <w:r w:rsidR="007B73BB">
        <w:rPr>
          <w:rFonts w:eastAsiaTheme="minorEastAsia"/>
          <w:lang w:val="sr-Cyrl-RS"/>
        </w:rPr>
        <w:t>.</w:t>
      </w:r>
      <w:r w:rsidR="007B73BB">
        <w:rPr>
          <w:rStyle w:val="FootnoteReference"/>
          <w:rFonts w:eastAsiaTheme="minorEastAsia"/>
          <w:lang w:val="sr-Cyrl-RS"/>
        </w:rPr>
        <w:footnoteReference w:id="2"/>
      </w:r>
    </w:p>
    <w:p w14:paraId="218B3B24" w14:textId="77777777" w:rsidR="00EB7954" w:rsidRDefault="007B73BB" w:rsidP="00EB7954">
      <w:pPr>
        <w:rPr>
          <w:rFonts w:eastAsiaTheme="minorEastAsia"/>
          <w:lang w:val="sr-Cyrl-RS"/>
        </w:rPr>
      </w:pPr>
      <w:r>
        <w:rPr>
          <w:lang w:val="sr-Cyrl-RS"/>
        </w:rPr>
        <w:t xml:space="preserve">Ова чињеница није толико необична, али нам помаже да дођемо до решења чија временска сложеност неће зависити од </w:t>
      </w:r>
      <m:oMath>
        <m:r>
          <w:rPr>
            <w:rFonts w:ascii="Cambria Math" w:hAnsi="Cambria Math"/>
            <w:lang w:val="sr-Cyrl-RS"/>
          </w:rPr>
          <m:t>k</m:t>
        </m:r>
      </m:oMath>
      <w:r>
        <w:rPr>
          <w:lang w:val="sr-Cyrl-RS"/>
        </w:rPr>
        <w:t xml:space="preserve">. Довољно је да се симулира кретање све док </w:t>
      </w:r>
      <w:r w:rsidR="004C2070">
        <w:rPr>
          <w:lang w:val="sr-Cyrl-RS"/>
        </w:rPr>
        <w:t xml:space="preserve">не стигнемо до </w:t>
      </w:r>
      <m:oMath>
        <m:r>
          <w:rPr>
            <w:rFonts w:ascii="Cambria Math" w:hAnsi="Cambria Math"/>
            <w:lang w:val="sr-Cyrl-RS"/>
          </w:rPr>
          <m:t>k</m:t>
        </m:r>
      </m:oMath>
      <w:r w:rsidR="004C2070">
        <w:rPr>
          <w:rFonts w:eastAsiaTheme="minorEastAsia"/>
          <w:lang w:val="sr-Cyrl-RS"/>
        </w:rPr>
        <w:t>-тог судара или не наиђемо на поље које смо већ обишли (водити рачуна о оба случаја!).</w:t>
      </w:r>
    </w:p>
    <w:p w14:paraId="756C6B71" w14:textId="679FD5E3" w:rsidR="007B73BB" w:rsidRDefault="00EB7954" w:rsidP="00E878F1">
      <w:pPr>
        <w:rPr>
          <w:rFonts w:eastAsiaTheme="minorEastAsia"/>
          <w:lang w:val="sr-Cyrl-RS"/>
        </w:rPr>
      </w:pPr>
      <w:r>
        <w:rPr>
          <w:rFonts w:eastAsiaTheme="minorEastAsia"/>
          <w:lang w:val="sr-Cyrl-RS"/>
        </w:rPr>
        <w:t>У поменутом другом случају, з</w:t>
      </w:r>
      <w:r w:rsidR="004C2070">
        <w:rPr>
          <w:rFonts w:eastAsiaTheme="minorEastAsia"/>
          <w:lang w:val="sr-Cyrl-RS"/>
        </w:rPr>
        <w:t>а симулацију може да се користи решење за 70 поена, али није нужно због природе проблема – довољно је користити просту симулацију из решења вредног 30 поена (</w:t>
      </w:r>
      <w:r w:rsidR="00E878F1">
        <w:rPr>
          <w:rFonts w:eastAsiaTheme="minorEastAsia"/>
          <w:lang w:val="sr-Cyrl-RS"/>
        </w:rPr>
        <w:t xml:space="preserve">поменутих </w:t>
      </w:r>
      <m:oMath>
        <m:r>
          <w:rPr>
            <w:rFonts w:ascii="Cambria Math" w:hAnsi="Cambria Math"/>
            <w:lang w:val="uz-Cyrl-UZ"/>
          </w:rPr>
          <m:t>4mn</m:t>
        </m:r>
      </m:oMath>
      <w:r w:rsidR="00E878F1">
        <w:rPr>
          <w:rFonts w:eastAsiaTheme="minorEastAsia"/>
          <w:lang w:val="uz-Cyrl-UZ"/>
        </w:rPr>
        <w:t xml:space="preserve"> стања нису само она када се мења режим кретања!</w:t>
      </w:r>
      <w:r w:rsidR="004C2070">
        <w:rPr>
          <w:rFonts w:eastAsiaTheme="minorEastAsia"/>
          <w:lang w:val="sr-Cyrl-RS"/>
        </w:rPr>
        <w:t>).</w:t>
      </w:r>
    </w:p>
    <w:p w14:paraId="630DE8F2" w14:textId="1CE60CFD" w:rsidR="00EB7954" w:rsidRDefault="00EB7954" w:rsidP="00C855C4">
      <w:pPr>
        <w:rPr>
          <w:rFonts w:eastAsiaTheme="minorEastAsia"/>
          <w:lang w:val="sr-Cyrl-RS"/>
        </w:rPr>
      </w:pPr>
      <w:r>
        <w:rPr>
          <w:rFonts w:eastAsiaTheme="minorEastAsia"/>
          <w:lang w:val="sr-Cyrl-RS"/>
        </w:rPr>
        <w:t>Након одређивања периода и редног броја судара који је први у циклусу, уз мало модуларне аритметике се једноставно одреди завршно стање.</w:t>
      </w:r>
      <w:r w:rsidR="00E878F1">
        <w:rPr>
          <w:rFonts w:eastAsiaTheme="minorEastAsia"/>
          <w:lang w:val="sr-Cyrl-RS"/>
        </w:rPr>
        <w:t xml:space="preserve"> Конкретно, уколико је редни број првог судара у циклусу </w:t>
      </w:r>
      <m:oMath>
        <m:r>
          <w:rPr>
            <w:rFonts w:ascii="Cambria Math" w:eastAsiaTheme="minorEastAsia" w:hAnsi="Cambria Math"/>
            <w:lang w:val="sr-Latn-RS"/>
          </w:rPr>
          <m:t>p</m:t>
        </m:r>
      </m:oMath>
      <w:r w:rsidR="007670F7">
        <w:rPr>
          <w:rFonts w:eastAsiaTheme="minorEastAsia"/>
          <w:lang w:val="sr-Latn-RS"/>
        </w:rPr>
        <w:t xml:space="preserve">, </w:t>
      </w:r>
      <w:r w:rsidR="007670F7">
        <w:rPr>
          <w:rFonts w:eastAsiaTheme="minorEastAsia"/>
          <w:lang w:val="sr-Cyrl-RS"/>
        </w:rPr>
        <w:t xml:space="preserve">дужина циклуса </w:t>
      </w:r>
      <m:oMath>
        <m:r>
          <w:rPr>
            <w:rFonts w:ascii="Cambria Math" w:eastAsiaTheme="minorEastAsia" w:hAnsi="Cambria Math"/>
            <w:lang w:val="sr-Cyrl-RS"/>
          </w:rPr>
          <m:t>T</m:t>
        </m:r>
      </m:oMath>
      <w:r w:rsidR="007670F7">
        <w:rPr>
          <w:rFonts w:eastAsiaTheme="minorEastAsia"/>
          <w:lang w:val="sr-Cyrl-RS"/>
        </w:rPr>
        <w:t xml:space="preserve">, а тражимо </w:t>
      </w:r>
      <m:oMath>
        <m:r>
          <w:rPr>
            <w:rFonts w:ascii="Cambria Math" w:eastAsiaTheme="minorEastAsia" w:hAnsi="Cambria Math"/>
            <w:lang w:val="en-GB"/>
          </w:rPr>
          <m:t>k</m:t>
        </m:r>
      </m:oMath>
      <w:r w:rsidR="007670F7">
        <w:rPr>
          <w:rFonts w:eastAsiaTheme="minorEastAsia"/>
          <w:lang w:val="sr-Cyrl-RS"/>
        </w:rPr>
        <w:t xml:space="preserve">-ти положај, тада је редни број судара који нас занима у овом циклусу </w:t>
      </w:r>
      <m:oMath>
        <m:d>
          <m:dPr>
            <m:ctrlPr>
              <w:rPr>
                <w:rFonts w:ascii="Cambria Math" w:eastAsiaTheme="minorEastAsia" w:hAnsi="Cambria Math"/>
                <w:i/>
                <w:lang w:val="sr-Cyrl-RS"/>
              </w:rPr>
            </m:ctrlPr>
          </m:dPr>
          <m:e>
            <m:r>
              <w:rPr>
                <w:rFonts w:ascii="Cambria Math" w:eastAsiaTheme="minorEastAsia" w:hAnsi="Cambria Math"/>
                <w:lang w:val="sr-Cyrl-RS"/>
              </w:rPr>
              <m:t>k-p</m:t>
            </m:r>
          </m:e>
        </m:d>
        <m:r>
          <w:rPr>
            <w:rFonts w:ascii="Cambria Math" w:eastAsiaTheme="minorEastAsia" w:hAnsi="Cambria Math"/>
            <w:lang w:val="sr-Cyrl-RS"/>
          </w:rPr>
          <m:t xml:space="preserve"> </m:t>
        </m:r>
        <m:r>
          <m:rPr>
            <m:sty m:val="p"/>
          </m:rPr>
          <w:rPr>
            <w:rFonts w:ascii="Cambria Math" w:eastAsiaTheme="minorEastAsia" w:hAnsi="Cambria Math"/>
            <w:lang w:val="sr-Cyrl-RS"/>
          </w:rPr>
          <m:t>mod</m:t>
        </m:r>
        <m:r>
          <w:rPr>
            <w:rFonts w:ascii="Cambria Math" w:eastAsiaTheme="minorEastAsia" w:hAnsi="Cambria Math"/>
            <w:lang w:val="sr-Cyrl-RS"/>
          </w:rPr>
          <m:t xml:space="preserve"> T</m:t>
        </m:r>
      </m:oMath>
      <w:r w:rsidR="007670F7">
        <w:rPr>
          <w:rFonts w:eastAsiaTheme="minorEastAsia"/>
          <w:lang w:val="sr-Cyrl-RS"/>
        </w:rPr>
        <w:t>.</w:t>
      </w:r>
      <w:r w:rsidR="00C855C4">
        <w:rPr>
          <w:rFonts w:eastAsiaTheme="minorEastAsia"/>
          <w:lang w:val="sr-Cyrl-RS"/>
        </w:rPr>
        <w:t xml:space="preserve"> Покушајмо да оправдамо: првих </w:t>
      </w:r>
      <m:oMath>
        <m:r>
          <w:rPr>
            <w:rFonts w:ascii="Cambria Math" w:eastAsiaTheme="minorEastAsia" w:hAnsi="Cambria Math"/>
            <w:lang w:val="en-GB"/>
          </w:rPr>
          <m:t>p</m:t>
        </m:r>
      </m:oMath>
      <w:r w:rsidR="00C855C4">
        <w:rPr>
          <w:rFonts w:eastAsiaTheme="minorEastAsia"/>
          <w:lang w:val="sr-Cyrl-RS"/>
        </w:rPr>
        <w:t xml:space="preserve"> корака у симулацији су пре циклуса, стога смо у току цикличног обиласка имали </w:t>
      </w:r>
      <m:oMath>
        <m:d>
          <m:dPr>
            <m:ctrlPr>
              <w:rPr>
                <w:rFonts w:ascii="Cambria Math" w:eastAsiaTheme="minorEastAsia" w:hAnsi="Cambria Math"/>
                <w:i/>
                <w:lang w:val="sr-Cyrl-RS"/>
              </w:rPr>
            </m:ctrlPr>
          </m:dPr>
          <m:e>
            <m:r>
              <w:rPr>
                <w:rFonts w:ascii="Cambria Math" w:eastAsiaTheme="minorEastAsia" w:hAnsi="Cambria Math"/>
                <w:lang w:val="sr-Cyrl-RS"/>
              </w:rPr>
              <m:t>k-p</m:t>
            </m:r>
          </m:e>
        </m:d>
      </m:oMath>
      <w:r w:rsidR="00C855C4">
        <w:rPr>
          <w:rFonts w:eastAsiaTheme="minorEastAsia"/>
          <w:lang w:val="sr-Cyrl-RS"/>
        </w:rPr>
        <w:t xml:space="preserve"> корака; нулто и </w:t>
      </w:r>
      <m:oMath>
        <m:r>
          <w:rPr>
            <w:rFonts w:ascii="Cambria Math" w:eastAsiaTheme="minorEastAsia" w:hAnsi="Cambria Math"/>
            <w:lang w:val="en-GB"/>
          </w:rPr>
          <m:t>T</m:t>
        </m:r>
      </m:oMath>
      <w:r w:rsidR="00C855C4">
        <w:rPr>
          <w:rFonts w:eastAsiaTheme="minorEastAsia"/>
          <w:lang w:val="sr-Cyrl-RS"/>
        </w:rPr>
        <w:t xml:space="preserve">-то стање у циклусу су идентични, те је довољно посматрати модул </w:t>
      </w:r>
      <m:oMath>
        <m:r>
          <w:rPr>
            <w:rFonts w:ascii="Cambria Math" w:eastAsiaTheme="minorEastAsia" w:hAnsi="Cambria Math"/>
            <w:lang w:val="en-GB"/>
          </w:rPr>
          <m:t>T</m:t>
        </m:r>
      </m:oMath>
      <w:r w:rsidR="00C855C4">
        <w:rPr>
          <w:rFonts w:eastAsiaTheme="minorEastAsia"/>
          <w:lang w:val="sr-Cyrl-RS"/>
        </w:rPr>
        <w:t>.</w:t>
      </w:r>
    </w:p>
    <w:p w14:paraId="70C49572" w14:textId="3454E4AF" w:rsidR="00EB7954" w:rsidRDefault="00C855C4" w:rsidP="00924AFE">
      <w:pPr>
        <w:rPr>
          <w:rFonts w:eastAsiaTheme="minorEastAsia"/>
          <w:lang w:val="sr-Cyrl-RS"/>
        </w:rPr>
      </w:pPr>
      <w:r>
        <w:rPr>
          <w:rFonts w:eastAsiaTheme="minorEastAsia"/>
          <w:lang w:val="sr-Cyrl-RS"/>
        </w:rPr>
        <w:t xml:space="preserve">Дакле, решење за 30 поена је довољно проширити увођењем помоћних матрица које нам говоре када смо први пут дошли до неког </w:t>
      </w:r>
      <w:r w:rsidR="00924AFE">
        <w:rPr>
          <w:rFonts w:eastAsiaTheme="minorEastAsia"/>
          <w:lang w:val="sr-Cyrl-RS"/>
        </w:rPr>
        <w:t xml:space="preserve">стања. Водећи се идејом компактности записа, предлаже се да се и даље користи једна једина матрица, али ће имати три димензије – додатна координата је индекс смера! Пре него што се први пут доспе у неко стање, време неопходно да се до њега дође се најпре подеси на неко немогуће (на пример, </w:t>
      </w:r>
      <m:oMath>
        <m:r>
          <w:rPr>
            <w:rFonts w:ascii="Cambria Math" w:eastAsiaTheme="minorEastAsia" w:hAnsi="Cambria Math"/>
            <w:lang w:val="sr-Cyrl-RS"/>
          </w:rPr>
          <m:t>-1</m:t>
        </m:r>
      </m:oMath>
      <w:r w:rsidR="00924AFE">
        <w:rPr>
          <w:rFonts w:eastAsiaTheme="minorEastAsia"/>
          <w:lang w:val="sr-Cyrl-RS"/>
        </w:rPr>
        <w:t xml:space="preserve">). При обиласку неког стања се најпре испита да ли је реч о неком раније </w:t>
      </w:r>
      <w:proofErr w:type="spellStart"/>
      <w:r w:rsidR="00924AFE">
        <w:rPr>
          <w:rFonts w:eastAsiaTheme="minorEastAsia"/>
          <w:lang w:val="sr-Cyrl-RS"/>
        </w:rPr>
        <w:t>обиђеном</w:t>
      </w:r>
      <w:proofErr w:type="spellEnd"/>
      <w:r w:rsidR="00924AFE">
        <w:rPr>
          <w:rFonts w:eastAsiaTheme="minorEastAsia"/>
          <w:lang w:val="sr-Cyrl-RS"/>
        </w:rPr>
        <w:t xml:space="preserve"> стању (тако што се види да ли је у том пољу поменута „немогућа“ вредност), након чега није тешко одредити период.</w:t>
      </w:r>
    </w:p>
    <w:p w14:paraId="37D5DBE0" w14:textId="2260F319" w:rsidR="00924AFE" w:rsidRDefault="00924AFE" w:rsidP="00924AFE">
      <w:pPr>
        <w:rPr>
          <w:rFonts w:eastAsiaTheme="minorEastAsia"/>
          <w:lang w:val="sr-Cyrl-RS"/>
        </w:rPr>
      </w:pPr>
      <w:r>
        <w:rPr>
          <w:rFonts w:eastAsiaTheme="minorEastAsia"/>
          <w:lang w:val="sr-Cyrl-RS"/>
        </w:rPr>
        <w:t>Опет, неопходно је обратити пажњу на случај када до траженог судара дође пре уласка у циклус!</w:t>
      </w:r>
    </w:p>
    <w:p w14:paraId="1C6A5340" w14:textId="3901D5CB" w:rsidR="00E4223D" w:rsidRDefault="00EB7954" w:rsidP="00EB7954">
      <w:pPr>
        <w:pStyle w:val="Heading3"/>
        <w:rPr>
          <w:lang w:val="uz-Cyrl-UZ"/>
        </w:rPr>
      </w:pPr>
      <w:r>
        <w:rPr>
          <w:lang w:val="uz-Cyrl-UZ"/>
        </w:rPr>
        <w:t>Статистика</w:t>
      </w:r>
    </w:p>
    <w:p w14:paraId="09E0794F" w14:textId="039A8D7E" w:rsidR="003C3835" w:rsidRDefault="007670F7" w:rsidP="003C3835">
      <w:pPr>
        <w:rPr>
          <w:lang w:val="uz-Cyrl-UZ"/>
        </w:rPr>
      </w:pPr>
      <w:r>
        <w:rPr>
          <w:lang w:val="uz-Cyrl-UZ"/>
        </w:rPr>
        <w:t>Такмичарима се овај задатак показао нарочито тешким – ниједан задатак на Окружном такмичењу није слабије урађен у смислу просечног броја поена (</w:t>
      </w:r>
      <w:r w:rsidR="00E104C1">
        <w:rPr>
          <w:lang w:val="en-GB"/>
        </w:rPr>
        <w:t>6</w:t>
      </w:r>
      <w:r w:rsidR="00E104C1">
        <w:rPr>
          <w:lang w:val="uz-Cyrl-UZ"/>
        </w:rPr>
        <w:t>,</w:t>
      </w:r>
      <w:r w:rsidR="00E104C1">
        <w:rPr>
          <w:lang w:val="en-GB"/>
        </w:rPr>
        <w:t>36</w:t>
      </w:r>
      <w:r>
        <w:rPr>
          <w:lang w:val="uz-Cyrl-UZ"/>
        </w:rPr>
        <w:t xml:space="preserve"> од 100) и броја </w:t>
      </w:r>
      <w:r w:rsidR="003C3835">
        <w:rPr>
          <w:lang w:val="uz-Cyrl-UZ"/>
        </w:rPr>
        <w:t>исправних</w:t>
      </w:r>
      <w:r>
        <w:rPr>
          <w:lang w:val="uz-Cyrl-UZ"/>
        </w:rPr>
        <w:t xml:space="preserve"> решења. </w:t>
      </w:r>
      <w:r w:rsidR="003C3835">
        <w:rPr>
          <w:lang w:val="uz-Cyrl-UZ"/>
        </w:rPr>
        <w:t>Ипак,</w:t>
      </w:r>
      <w:r>
        <w:rPr>
          <w:lang w:val="uz-Cyrl-UZ"/>
        </w:rPr>
        <w:t xml:space="preserve"> </w:t>
      </w:r>
      <w:r w:rsidR="003C3835">
        <w:rPr>
          <w:lang w:val="uz-Cyrl-UZ"/>
        </w:rPr>
        <w:t>тројица</w:t>
      </w:r>
      <w:r>
        <w:rPr>
          <w:lang w:val="uz-Cyrl-UZ"/>
        </w:rPr>
        <w:t xml:space="preserve"> такмичара</w:t>
      </w:r>
      <w:r>
        <w:rPr>
          <w:rStyle w:val="FootnoteReference"/>
          <w:lang w:val="uz-Cyrl-UZ"/>
        </w:rPr>
        <w:footnoteReference w:id="3"/>
      </w:r>
      <w:r>
        <w:rPr>
          <w:lang w:val="uz-Cyrl-UZ"/>
        </w:rPr>
        <w:t xml:space="preserve"> су остварила максималних 100 поена на овом задатку: Никола Павловић</w:t>
      </w:r>
      <w:r w:rsidR="003C3835">
        <w:rPr>
          <w:lang w:val="uz-Cyrl-UZ"/>
        </w:rPr>
        <w:t>,</w:t>
      </w:r>
      <w:r>
        <w:rPr>
          <w:lang w:val="uz-Cyrl-UZ"/>
        </w:rPr>
        <w:t xml:space="preserve"> </w:t>
      </w:r>
      <w:r w:rsidR="003C3835">
        <w:rPr>
          <w:lang w:val="uz-Cyrl-UZ"/>
        </w:rPr>
        <w:t xml:space="preserve">Алекса Милојевић и </w:t>
      </w:r>
      <w:r>
        <w:rPr>
          <w:lang w:val="uz-Cyrl-UZ"/>
        </w:rPr>
        <w:t>Иван Дамњановић. Честитке!</w:t>
      </w:r>
    </w:p>
    <w:p w14:paraId="725F80F3" w14:textId="785874BE" w:rsidR="00C855C4" w:rsidRDefault="00C855C4" w:rsidP="00C855C4">
      <w:pPr>
        <w:rPr>
          <w:lang w:val="uz-Cyrl-UZ"/>
        </w:rPr>
      </w:pPr>
      <w:r>
        <w:rPr>
          <w:lang w:val="uz-Cyrl-UZ"/>
        </w:rPr>
        <w:t>Највећи не-нулти освојени број поена био је, очекивано, 30. Следи хистограм на ком се види расподела поена.</w:t>
      </w:r>
    </w:p>
    <w:p w14:paraId="54E2E4B6" w14:textId="728EFEEF" w:rsidR="00C855C4" w:rsidRPr="00EB7954" w:rsidRDefault="00C855C4" w:rsidP="00C855C4">
      <w:pPr>
        <w:jc w:val="center"/>
        <w:rPr>
          <w:lang w:val="uz-Cyrl-UZ"/>
        </w:rPr>
      </w:pPr>
      <w:r>
        <w:rPr>
          <w:noProof/>
          <w:lang w:val="en-GB" w:eastAsia="en-GB"/>
        </w:rPr>
        <w:lastRenderedPageBreak/>
        <w:drawing>
          <wp:inline distT="0" distB="0" distL="0" distR="0" wp14:anchorId="72D6F981" wp14:editId="0653B046">
            <wp:extent cx="5598367" cy="3395875"/>
            <wp:effectExtent l="0" t="0" r="2159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762E41" w14:textId="6F1287A1" w:rsidR="002A4A3B" w:rsidRDefault="003C3835" w:rsidP="00EB7954">
      <w:pPr>
        <w:pStyle w:val="Heading3"/>
        <w:rPr>
          <w:lang w:val="uz-Cyrl-UZ"/>
        </w:rPr>
      </w:pPr>
      <w:r>
        <w:rPr>
          <w:lang w:val="uz-Cyrl-UZ"/>
        </w:rPr>
        <w:t>Тестирање</w:t>
      </w:r>
    </w:p>
    <w:p w14:paraId="5199A073" w14:textId="0B62287F" w:rsidR="002A4A3B" w:rsidRPr="00EB7954" w:rsidRDefault="00924AFE" w:rsidP="00EB7954">
      <w:pPr>
        <w:rPr>
          <w:lang w:val="uz-Cyrl-UZ"/>
        </w:rPr>
      </w:pPr>
      <w:r>
        <w:rPr>
          <w:lang w:val="uz-Cyrl-UZ"/>
        </w:rPr>
        <w:t xml:space="preserve">Решења такмичара су тестирана на скупу од 20 тест примера, при чему </w:t>
      </w:r>
      <w:r w:rsidR="00EE4619">
        <w:rPr>
          <w:lang w:val="uz-Cyrl-UZ"/>
        </w:rPr>
        <w:t>је сваки био вредан по 5 поена.</w:t>
      </w:r>
      <w:bookmarkStart w:id="0" w:name="_GoBack"/>
      <w:bookmarkEnd w:id="0"/>
    </w:p>
    <w:p w14:paraId="0DAD2C1B" w14:textId="60C1ECEA" w:rsidR="00E21FFC" w:rsidRDefault="00E21FFC" w:rsidP="00EB7954">
      <w:pPr>
        <w:pStyle w:val="Heading3"/>
        <w:rPr>
          <w:lang w:val="uz-Cyrl-UZ"/>
        </w:rPr>
      </w:pPr>
      <w:r>
        <w:rPr>
          <w:lang w:val="uz-Cyrl-UZ"/>
        </w:rPr>
        <w:t>Уобичај</w:t>
      </w:r>
      <w:r w:rsidR="00E878F1">
        <w:rPr>
          <w:lang w:val="uz-Cyrl-UZ"/>
        </w:rPr>
        <w:t>е</w:t>
      </w:r>
      <w:r w:rsidR="003C3835">
        <w:rPr>
          <w:lang w:val="uz-Cyrl-UZ"/>
        </w:rPr>
        <w:t>не грешке</w:t>
      </w:r>
    </w:p>
    <w:p w14:paraId="4781B07F" w14:textId="1E49D3A8" w:rsidR="00E21FFC" w:rsidRDefault="003C3835" w:rsidP="00924AFE">
      <w:pPr>
        <w:rPr>
          <w:lang w:val="uz-Cyrl-UZ"/>
        </w:rPr>
      </w:pPr>
      <w:r>
        <w:rPr>
          <w:lang w:val="uz-Cyrl-UZ"/>
        </w:rPr>
        <w:t>Такмичари су поклекли у имплементацији – био је (очекиван) огроман број компликованих решења при покушај</w:t>
      </w:r>
      <w:r w:rsidR="00924AFE">
        <w:rPr>
          <w:lang w:val="uz-Cyrl-UZ"/>
        </w:rPr>
        <w:t xml:space="preserve">има имплементације за 30 поена (под “компликованих” се мисли на то да није употребљена техника са </w:t>
      </w:r>
      <m:oMath>
        <m:d>
          <m:dPr>
            <m:ctrlPr>
              <w:rPr>
                <w:rFonts w:ascii="Cambria Math" w:eastAsiaTheme="minorEastAsia" w:hAnsi="Cambria Math"/>
                <w:i/>
                <w:lang w:val="uz-Cyrl-UZ"/>
              </w:rPr>
            </m:ctrlPr>
          </m:dPr>
          <m:e>
            <m:r>
              <w:rPr>
                <w:rFonts w:ascii="Cambria Math" w:eastAsiaTheme="minorEastAsia" w:hAnsi="Cambria Math"/>
                <w:lang w:val="en-GB"/>
              </w:rPr>
              <m:t>dx,dy</m:t>
            </m:r>
          </m:e>
        </m:d>
      </m:oMath>
      <w:r w:rsidR="00924AFE">
        <w:rPr>
          <w:lang w:val="uz-Cyrl-UZ"/>
        </w:rPr>
        <w:t>).</w:t>
      </w:r>
      <w:r>
        <w:rPr>
          <w:lang w:val="uz-Cyrl-UZ"/>
        </w:rPr>
        <w:t xml:space="preserve"> Ипак, чак и такмичари који су успели да искористе неке делове поменутих “пречица” су направили неке друге “почетничке грешке”, посебно у виду граница низа.</w:t>
      </w:r>
      <w:r w:rsidR="00C855C4">
        <w:rPr>
          <w:lang w:val="uz-Cyrl-UZ"/>
        </w:rPr>
        <w:t xml:space="preserve"> Конкретно, из такмичарског кода</w:t>
      </w:r>
      <w:r w:rsidR="00924AFE">
        <w:rPr>
          <w:lang w:val="uz-Cyrl-UZ"/>
        </w:rPr>
        <w:t xml:space="preserve"> (који је такмичару донео 15 поена)</w:t>
      </w:r>
      <w:r w:rsidR="00C855C4">
        <w:rPr>
          <w:lang w:val="uz-Cyrl-UZ"/>
        </w:rPr>
        <w:t>:</w:t>
      </w:r>
    </w:p>
    <w:p w14:paraId="6B5EBC24"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case 2:</w:t>
      </w:r>
    </w:p>
    <w:p w14:paraId="2C64A3DF"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t>
      </w:r>
    </w:p>
    <w:p w14:paraId="2BEF5FFB"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while(l[y-1][x-1]==0 &amp;&amp; x&lt;=m)</w:t>
      </w:r>
    </w:p>
    <w:p w14:paraId="1941DBFB"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{x++;}</w:t>
      </w:r>
    </w:p>
    <w:p w14:paraId="0EA0DDB7"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s++;</w:t>
      </w:r>
    </w:p>
    <w:p w14:paraId="4C666B6E"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x--;</w:t>
      </w:r>
    </w:p>
    <w:p w14:paraId="10342C69"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break;</w:t>
      </w:r>
    </w:p>
    <w:p w14:paraId="3C987CA1" w14:textId="77777777" w:rsidR="00C855C4" w:rsidRPr="00C855C4" w:rsidRDefault="00C855C4" w:rsidP="00C855C4">
      <w:pPr>
        <w:spacing w:after="0"/>
        <w:rPr>
          <w:rFonts w:ascii="Consolas" w:hAnsi="Consolas" w:cs="Consolas"/>
          <w:sz w:val="16"/>
          <w:szCs w:val="16"/>
          <w:lang w:val="uz-Cyrl-UZ"/>
        </w:rPr>
      </w:pPr>
    </w:p>
    <w:p w14:paraId="40F20714"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t>
      </w:r>
    </w:p>
    <w:p w14:paraId="200654E5"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case 3:</w:t>
      </w:r>
    </w:p>
    <w:p w14:paraId="2DF3ABBC"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t>
      </w:r>
    </w:p>
    <w:p w14:paraId="78101D44"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while(l[y-1][x-1]==0 &amp;&amp; y&gt;=0)</w:t>
      </w:r>
    </w:p>
    <w:p w14:paraId="1D3FAEF8"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{y--;}</w:t>
      </w:r>
    </w:p>
    <w:p w14:paraId="2F281DE9"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s++;</w:t>
      </w:r>
    </w:p>
    <w:p w14:paraId="311047DD"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y++;</w:t>
      </w:r>
    </w:p>
    <w:p w14:paraId="58A1C96B" w14:textId="77777777"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break;</w:t>
      </w:r>
    </w:p>
    <w:p w14:paraId="7AA4A150" w14:textId="51B8E96F" w:rsidR="00C855C4" w:rsidRPr="00C855C4" w:rsidRDefault="00C855C4" w:rsidP="00C855C4">
      <w:pPr>
        <w:spacing w:after="0"/>
        <w:rPr>
          <w:rFonts w:ascii="Consolas" w:hAnsi="Consolas" w:cs="Consolas"/>
          <w:sz w:val="16"/>
          <w:szCs w:val="16"/>
          <w:lang w:val="uz-Cyrl-UZ"/>
        </w:rPr>
      </w:pPr>
      <w:r w:rsidRPr="00C855C4">
        <w:rPr>
          <w:rFonts w:ascii="Consolas" w:hAnsi="Consolas" w:cs="Consolas"/>
          <w:sz w:val="16"/>
          <w:szCs w:val="16"/>
          <w:lang w:val="uz-Cyrl-UZ"/>
        </w:rPr>
        <w:t xml:space="preserve">                }</w:t>
      </w:r>
    </w:p>
    <w:p w14:paraId="62D0EDEF" w14:textId="43E8EAEA" w:rsidR="00E21FFC" w:rsidRPr="001C168E" w:rsidRDefault="003C3835" w:rsidP="00C855C4">
      <w:pPr>
        <w:rPr>
          <w:lang w:val="uz-Cyrl-UZ"/>
        </w:rPr>
      </w:pPr>
      <w:r>
        <w:rPr>
          <w:lang w:val="uz-Cyrl-UZ"/>
        </w:rPr>
        <w:t>Поједини такмичари су имали исправну идеју за свих 100 поена, али су занемарили кључан специјалан случај за који се испоставило у тест примерима да нису толико “специјални” – преко половине тест примера упада у ову класу!</w:t>
      </w:r>
    </w:p>
    <w:sectPr w:rsidR="00E21FFC" w:rsidRPr="001C168E" w:rsidSect="001C168E">
      <w:headerReference w:type="default" r:id="rId10"/>
      <w:footerReference w:type="default" r:id="rId11"/>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CC8A" w14:textId="77777777" w:rsidR="003C3835" w:rsidRDefault="003C3835" w:rsidP="001C168E">
      <w:pPr>
        <w:spacing w:after="0" w:line="240" w:lineRule="auto"/>
      </w:pPr>
      <w:r>
        <w:separator/>
      </w:r>
    </w:p>
  </w:endnote>
  <w:endnote w:type="continuationSeparator" w:id="0">
    <w:p w14:paraId="263084C1" w14:textId="77777777" w:rsidR="003C3835" w:rsidRDefault="003C3835"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23"/>
      <w:gridCol w:w="4910"/>
    </w:tblGrid>
    <w:tr w:rsidR="003C3835" w14:paraId="3B15228A" w14:textId="77777777" w:rsidTr="00C14928">
      <w:trPr>
        <w:trHeight w:hRule="exact" w:val="115"/>
        <w:jc w:val="center"/>
      </w:trPr>
      <w:tc>
        <w:tcPr>
          <w:tcW w:w="4808" w:type="dxa"/>
          <w:shd w:val="clear" w:color="auto" w:fill="5B9BD5" w:themeFill="accent1"/>
          <w:tcMar>
            <w:top w:w="0" w:type="dxa"/>
            <w:bottom w:w="0" w:type="dxa"/>
          </w:tcMar>
        </w:tcPr>
        <w:p w14:paraId="043456D6" w14:textId="77777777" w:rsidR="003C3835" w:rsidRDefault="003C3835"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14:paraId="66F40949" w14:textId="77777777" w:rsidR="003C3835" w:rsidRDefault="003C3835" w:rsidP="00C14928">
          <w:pPr>
            <w:pStyle w:val="Header"/>
            <w:tabs>
              <w:tab w:val="clear" w:pos="4680"/>
              <w:tab w:val="clear" w:pos="9360"/>
            </w:tabs>
            <w:jc w:val="center"/>
            <w:rPr>
              <w:caps/>
              <w:sz w:val="18"/>
            </w:rPr>
          </w:pPr>
        </w:p>
      </w:tc>
    </w:tr>
    <w:tr w:rsidR="003C3835" w14:paraId="4DC26C1E" w14:textId="77777777" w:rsidTr="00825C24">
      <w:trPr>
        <w:jc w:val="center"/>
      </w:trPr>
      <w:tc>
        <w:tcPr>
          <w:tcW w:w="9603" w:type="dxa"/>
          <w:gridSpan w:val="2"/>
          <w:shd w:val="clear" w:color="auto" w:fill="auto"/>
          <w:vAlign w:val="center"/>
        </w:tcPr>
        <w:p w14:paraId="34DAECFD" w14:textId="77777777" w:rsidR="003C3835" w:rsidRDefault="003C3835"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E4619">
            <w:rPr>
              <w:caps/>
              <w:noProof/>
              <w:color w:val="808080" w:themeColor="background1" w:themeShade="80"/>
              <w:sz w:val="18"/>
              <w:szCs w:val="18"/>
            </w:rPr>
            <w:t>4</w:t>
          </w:r>
          <w:r>
            <w:rPr>
              <w:caps/>
              <w:noProof/>
              <w:color w:val="808080" w:themeColor="background1" w:themeShade="80"/>
              <w:sz w:val="18"/>
              <w:szCs w:val="18"/>
            </w:rPr>
            <w:fldChar w:fldCharType="end"/>
          </w:r>
        </w:p>
      </w:tc>
    </w:tr>
  </w:tbl>
  <w:p w14:paraId="36BA9C4E" w14:textId="77777777" w:rsidR="003C3835" w:rsidRDefault="003C3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4CED5" w14:textId="77777777" w:rsidR="003C3835" w:rsidRDefault="003C3835" w:rsidP="001C168E">
      <w:pPr>
        <w:spacing w:after="0" w:line="240" w:lineRule="auto"/>
      </w:pPr>
      <w:r>
        <w:separator/>
      </w:r>
    </w:p>
  </w:footnote>
  <w:footnote w:type="continuationSeparator" w:id="0">
    <w:p w14:paraId="7118510E" w14:textId="77777777" w:rsidR="003C3835" w:rsidRDefault="003C3835" w:rsidP="001C168E">
      <w:pPr>
        <w:spacing w:after="0" w:line="240" w:lineRule="auto"/>
      </w:pPr>
      <w:r>
        <w:continuationSeparator/>
      </w:r>
    </w:p>
  </w:footnote>
  <w:footnote w:id="1">
    <w:p w14:paraId="05066902" w14:textId="634F6812" w:rsidR="003C3835" w:rsidRPr="006B6099" w:rsidRDefault="003C3835" w:rsidP="007B73BB">
      <w:pPr>
        <w:pStyle w:val="FootnoteText"/>
        <w:rPr>
          <w:lang w:val="sr-Cyrl-RS"/>
        </w:rPr>
      </w:pPr>
      <w:r>
        <w:rPr>
          <w:rStyle w:val="FootnoteReference"/>
        </w:rPr>
        <w:footnoteRef/>
      </w:r>
      <w:r>
        <w:t xml:space="preserve"> </w:t>
      </w:r>
      <w:r>
        <w:rPr>
          <w:lang w:val="uz-Cyrl-UZ"/>
        </w:rPr>
        <w:t xml:space="preserve">Ово је идеја која је позната при решавању задатака </w:t>
      </w:r>
      <w:r w:rsidRPr="00847432">
        <w:rPr>
          <w:b/>
          <w:bCs/>
          <w:lang w:val="uz-Cyrl-UZ"/>
        </w:rPr>
        <w:t>динамичким програмирањем</w:t>
      </w:r>
      <w:r w:rsidR="00C855C4">
        <w:rPr>
          <w:lang w:val="uz-Cyrl-UZ"/>
        </w:rPr>
        <w:t xml:space="preserve"> – због тога што ова облас</w:t>
      </w:r>
      <w:r>
        <w:rPr>
          <w:lang w:val="uz-Cyrl-UZ"/>
        </w:rPr>
        <w:t>т није део градива предвиђеног за окружно такмичење, решење Комисије за 100 поена не захтева коришћење ове технике.</w:t>
      </w:r>
    </w:p>
  </w:footnote>
  <w:footnote w:id="2">
    <w:p w14:paraId="79897A2E" w14:textId="0640B95B" w:rsidR="003C3835" w:rsidRPr="007B73BB" w:rsidRDefault="003C3835" w:rsidP="007B73BB">
      <w:pPr>
        <w:pStyle w:val="FootnoteText"/>
        <w:rPr>
          <w:lang w:val="sr-Cyrl-RS"/>
        </w:rPr>
      </w:pPr>
      <w:r>
        <w:rPr>
          <w:rStyle w:val="FootnoteReference"/>
        </w:rPr>
        <w:footnoteRef/>
      </w:r>
      <w:r>
        <w:t xml:space="preserve"> </w:t>
      </w:r>
      <w:r>
        <w:rPr>
          <w:lang w:val="sr-Cyrl-RS"/>
        </w:rPr>
        <w:t xml:space="preserve">Постоји и математички став који се доказује коришћењем сличног резона: постоји </w:t>
      </w:r>
      <w:proofErr w:type="spellStart"/>
      <w:r>
        <w:rPr>
          <w:lang w:val="sr-Cyrl-RS"/>
        </w:rPr>
        <w:t>Фибоначијев</w:t>
      </w:r>
      <w:proofErr w:type="spellEnd"/>
      <w:r>
        <w:rPr>
          <w:lang w:val="sr-Cyrl-RS"/>
        </w:rPr>
        <w:t xml:space="preserve"> број који је дељив са </w:t>
      </w:r>
      <m:oMath>
        <m:r>
          <w:rPr>
            <w:rFonts w:ascii="Cambria Math" w:hAnsi="Cambria Math"/>
            <w:lang w:val="sr-Latn-RS"/>
          </w:rPr>
          <m:t>n</m:t>
        </m:r>
      </m:oMath>
      <w:r>
        <w:rPr>
          <w:lang w:val="sr-Cyrl-RS"/>
        </w:rPr>
        <w:t xml:space="preserve"> (какво год </w:t>
      </w:r>
      <m:oMath>
        <m:r>
          <w:rPr>
            <w:rFonts w:ascii="Cambria Math" w:hAnsi="Cambria Math"/>
            <w:lang w:val="sr-Latn-RS"/>
          </w:rPr>
          <m:t>n</m:t>
        </m:r>
      </m:oMath>
      <w:r>
        <w:rPr>
          <w:rFonts w:eastAsiaTheme="minorEastAsia"/>
          <w:lang w:val="sr-Cyrl-RS"/>
        </w:rPr>
        <w:t xml:space="preserve"> било у питању). Предлажемо такмичарима да пробају сами да дођу до овог доказа имајући у виду ову „помоћ“: познавање дискретне математике и техника доказивања је кључно у рачунарству.</w:t>
      </w:r>
    </w:p>
  </w:footnote>
  <w:footnote w:id="3">
    <w:p w14:paraId="40EB1F0E" w14:textId="1AFC221C" w:rsidR="003C3835" w:rsidRPr="007670F7" w:rsidRDefault="003C3835" w:rsidP="003C3835">
      <w:pPr>
        <w:pStyle w:val="FootnoteText"/>
        <w:rPr>
          <w:lang w:val="sr-Cyrl-RS"/>
        </w:rPr>
      </w:pPr>
      <w:r>
        <w:rPr>
          <w:rStyle w:val="FootnoteReference"/>
        </w:rPr>
        <w:footnoteRef/>
      </w:r>
      <w:r>
        <w:t xml:space="preserve"> </w:t>
      </w:r>
      <w:r>
        <w:rPr>
          <w:lang w:val="sr-Cyrl-RS"/>
        </w:rPr>
        <w:t>За три више него што се аутор задатка надао.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977A2" w14:textId="2F2F3100" w:rsidR="003C3835" w:rsidRDefault="003C3835" w:rsidP="00AF1B33">
    <w:pPr>
      <w:pStyle w:val="Header"/>
      <w:rPr>
        <w:lang w:val="uz-Cyrl-UZ"/>
      </w:rPr>
    </w:pPr>
    <w:r>
      <w:rPr>
        <w:noProof/>
        <w:lang w:val="en-GB" w:eastAsia="en-GB"/>
      </w:rPr>
      <w:drawing>
        <wp:anchor distT="0" distB="0" distL="114300" distR="114300" simplePos="0" relativeHeight="251660288" behindDoc="0" locked="0" layoutInCell="1" allowOverlap="1" wp14:anchorId="2BD3ED25" wp14:editId="7C3D70DD">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Pr>
        <w:lang w:val="uz-Cyrl-UZ"/>
      </w:rPr>
      <w:t>Окружно такмичење из програмирања</w:t>
    </w:r>
  </w:p>
  <w:p w14:paraId="7AFA8AC6" w14:textId="15781E08" w:rsidR="003C3835" w:rsidRDefault="003C3835">
    <w:pPr>
      <w:pStyle w:val="Header"/>
      <w:rPr>
        <w:lang w:val="uz-Cyrl-UZ"/>
      </w:rPr>
    </w:pPr>
    <w:r>
      <w:rPr>
        <w:lang w:val="uz-Cyrl-UZ"/>
      </w:rPr>
      <w:t xml:space="preserve">21. фебруар 2015. </w:t>
    </w:r>
    <w:r>
      <w:rPr>
        <w:lang w:val="sr"/>
      </w:rPr>
      <w:t>г</w:t>
    </w:r>
    <w:r>
      <w:rPr>
        <w:lang w:val="uz-Cyrl-UZ"/>
      </w:rPr>
      <w:t>одине</w:t>
    </w:r>
  </w:p>
  <w:p w14:paraId="0BEF5A1F" w14:textId="78AAD83F" w:rsidR="003C3835" w:rsidRDefault="003C3835">
    <w:pPr>
      <w:pStyle w:val="Header"/>
      <w:rPr>
        <w:lang w:val="uz-Cyrl-UZ"/>
      </w:rPr>
    </w:pPr>
    <w:r>
      <w:rPr>
        <w:lang w:val="uz-Cyrl-UZ"/>
      </w:rPr>
      <w:tab/>
    </w:r>
  </w:p>
  <w:p w14:paraId="786109AF" w14:textId="77777777" w:rsidR="003C3835" w:rsidRPr="001C168E" w:rsidRDefault="003C3835">
    <w:pPr>
      <w:pStyle w:val="Header"/>
      <w:rPr>
        <w:lang w:val="uz-Cyrl-UZ"/>
      </w:rPr>
    </w:pPr>
    <w:r>
      <w:rPr>
        <w:noProof/>
        <w:lang w:val="en-GB" w:eastAsia="en-GB"/>
      </w:rPr>
      <mc:AlternateContent>
        <mc:Choice Requires="wps">
          <w:drawing>
            <wp:anchor distT="0" distB="0" distL="114300" distR="114300" simplePos="0" relativeHeight="251659264" behindDoc="0" locked="0" layoutInCell="1" allowOverlap="1" wp14:anchorId="5C1FD8FA" wp14:editId="4CD3D10D">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w:pict>
            <v:line w14:anchorId="02CF70B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86973"/>
    <w:multiLevelType w:val="hybridMultilevel"/>
    <w:tmpl w:val="7AC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D20CA"/>
    <w:multiLevelType w:val="hybridMultilevel"/>
    <w:tmpl w:val="27A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3C0F30"/>
    <w:multiLevelType w:val="hybridMultilevel"/>
    <w:tmpl w:val="9A2AE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4167C2"/>
    <w:multiLevelType w:val="hybridMultilevel"/>
    <w:tmpl w:val="946C9D4A"/>
    <w:lvl w:ilvl="0" w:tplc="F5F8EF86">
      <w:start w:val="3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411BAC"/>
    <w:multiLevelType w:val="hybridMultilevel"/>
    <w:tmpl w:val="A4E8D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8E"/>
    <w:rsid w:val="00000AC1"/>
    <w:rsid w:val="000E7D27"/>
    <w:rsid w:val="001C168E"/>
    <w:rsid w:val="002A4A3B"/>
    <w:rsid w:val="003C3835"/>
    <w:rsid w:val="004C2070"/>
    <w:rsid w:val="005F4EF5"/>
    <w:rsid w:val="006B6099"/>
    <w:rsid w:val="00756DA9"/>
    <w:rsid w:val="007670F7"/>
    <w:rsid w:val="007B73BB"/>
    <w:rsid w:val="00825C24"/>
    <w:rsid w:val="00847432"/>
    <w:rsid w:val="00924AFE"/>
    <w:rsid w:val="00A77703"/>
    <w:rsid w:val="00A907B8"/>
    <w:rsid w:val="00AD2428"/>
    <w:rsid w:val="00AF1B33"/>
    <w:rsid w:val="00B95AFD"/>
    <w:rsid w:val="00C14928"/>
    <w:rsid w:val="00C626CE"/>
    <w:rsid w:val="00C855C4"/>
    <w:rsid w:val="00DD0DC8"/>
    <w:rsid w:val="00E104C1"/>
    <w:rsid w:val="00E21FFC"/>
    <w:rsid w:val="00E4223D"/>
    <w:rsid w:val="00E878F1"/>
    <w:rsid w:val="00EB7954"/>
    <w:rsid w:val="00ED6853"/>
    <w:rsid w:val="00EE4619"/>
    <w:rsid w:val="00FC74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527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825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C24"/>
    <w:rPr>
      <w:rFonts w:ascii="Tahoma" w:hAnsi="Tahoma" w:cs="Tahoma"/>
      <w:sz w:val="16"/>
      <w:szCs w:val="16"/>
    </w:rPr>
  </w:style>
  <w:style w:type="paragraph" w:styleId="FootnoteText">
    <w:name w:val="footnote text"/>
    <w:basedOn w:val="Normal"/>
    <w:link w:val="FootnoteTextChar"/>
    <w:uiPriority w:val="99"/>
    <w:semiHidden/>
    <w:unhideWhenUsed/>
    <w:rsid w:val="006B60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099"/>
    <w:rPr>
      <w:sz w:val="20"/>
      <w:szCs w:val="20"/>
    </w:rPr>
  </w:style>
  <w:style w:type="character" w:styleId="FootnoteReference">
    <w:name w:val="footnote reference"/>
    <w:basedOn w:val="DefaultParagraphFont"/>
    <w:uiPriority w:val="99"/>
    <w:semiHidden/>
    <w:unhideWhenUsed/>
    <w:rsid w:val="006B60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825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C24"/>
    <w:rPr>
      <w:rFonts w:ascii="Tahoma" w:hAnsi="Tahoma" w:cs="Tahoma"/>
      <w:sz w:val="16"/>
      <w:szCs w:val="16"/>
    </w:rPr>
  </w:style>
  <w:style w:type="paragraph" w:styleId="FootnoteText">
    <w:name w:val="footnote text"/>
    <w:basedOn w:val="Normal"/>
    <w:link w:val="FootnoteTextChar"/>
    <w:uiPriority w:val="99"/>
    <w:semiHidden/>
    <w:unhideWhenUsed/>
    <w:rsid w:val="006B60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099"/>
    <w:rPr>
      <w:sz w:val="20"/>
      <w:szCs w:val="20"/>
    </w:rPr>
  </w:style>
  <w:style w:type="character" w:styleId="FootnoteReference">
    <w:name w:val="footnote reference"/>
    <w:basedOn w:val="DefaultParagraphFont"/>
    <w:uiPriority w:val="99"/>
    <w:semiHidden/>
    <w:unhideWhenUsed/>
    <w:rsid w:val="006B6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i294\AppData\Local\Temp\(NOVO)(nije%20okaceno%20na%20takprog)Okruzno2015_PrelimininarniRezulta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Sheet2!$A$2:$A$22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Sheet2!$B$2:$B$22</c:f>
              <c:numCache>
                <c:formatCode>General</c:formatCode>
                <c:ptCount val="21"/>
                <c:pt idx="0">
                  <c:v>255</c:v>
                </c:pt>
                <c:pt idx="1">
                  <c:v>4</c:v>
                </c:pt>
                <c:pt idx="2">
                  <c:v>1</c:v>
                </c:pt>
                <c:pt idx="3">
                  <c:v>7</c:v>
                </c:pt>
                <c:pt idx="4">
                  <c:v>0</c:v>
                </c:pt>
                <c:pt idx="5">
                  <c:v>3</c:v>
                </c:pt>
                <c:pt idx="6">
                  <c:v>47</c:v>
                </c:pt>
                <c:pt idx="7">
                  <c:v>0</c:v>
                </c:pt>
                <c:pt idx="8">
                  <c:v>1</c:v>
                </c:pt>
                <c:pt idx="9">
                  <c:v>1</c:v>
                </c:pt>
                <c:pt idx="10">
                  <c:v>1</c:v>
                </c:pt>
                <c:pt idx="11">
                  <c:v>0</c:v>
                </c:pt>
                <c:pt idx="12">
                  <c:v>0</c:v>
                </c:pt>
                <c:pt idx="13">
                  <c:v>0</c:v>
                </c:pt>
                <c:pt idx="14">
                  <c:v>0</c:v>
                </c:pt>
                <c:pt idx="15">
                  <c:v>0</c:v>
                </c:pt>
                <c:pt idx="16">
                  <c:v>0</c:v>
                </c:pt>
                <c:pt idx="17">
                  <c:v>0</c:v>
                </c:pt>
                <c:pt idx="18">
                  <c:v>0</c:v>
                </c:pt>
                <c:pt idx="19">
                  <c:v>0</c:v>
                </c:pt>
                <c:pt idx="20">
                  <c:v>3</c:v>
                </c:pt>
              </c:numCache>
            </c:numRef>
          </c:val>
        </c:ser>
        <c:dLbls>
          <c:showLegendKey val="0"/>
          <c:showVal val="0"/>
          <c:showCatName val="0"/>
          <c:showSerName val="0"/>
          <c:showPercent val="0"/>
          <c:showBubbleSize val="0"/>
        </c:dLbls>
        <c:gapWidth val="150"/>
        <c:axId val="583330816"/>
        <c:axId val="54177152"/>
      </c:barChart>
      <c:catAx>
        <c:axId val="583330816"/>
        <c:scaling>
          <c:orientation val="minMax"/>
        </c:scaling>
        <c:delete val="0"/>
        <c:axPos val="b"/>
        <c:numFmt formatCode="General" sourceLinked="1"/>
        <c:majorTickMark val="out"/>
        <c:minorTickMark val="none"/>
        <c:tickLblPos val="nextTo"/>
        <c:crossAx val="54177152"/>
        <c:crosses val="autoZero"/>
        <c:auto val="1"/>
        <c:lblAlgn val="ctr"/>
        <c:lblOffset val="100"/>
        <c:noMultiLvlLbl val="0"/>
      </c:catAx>
      <c:valAx>
        <c:axId val="54177152"/>
        <c:scaling>
          <c:orientation val="minMax"/>
        </c:scaling>
        <c:delete val="0"/>
        <c:axPos val="l"/>
        <c:majorGridlines>
          <c:spPr>
            <a:ln>
              <a:solidFill>
                <a:schemeClr val="accent1"/>
              </a:solidFill>
            </a:ln>
          </c:spPr>
        </c:majorGridlines>
        <c:numFmt formatCode="General" sourceLinked="1"/>
        <c:majorTickMark val="out"/>
        <c:minorTickMark val="none"/>
        <c:tickLblPos val="nextTo"/>
        <c:crossAx val="5833308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FFE7C10-CCDC-483F-8FAE-10930837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8B71EE4F</Template>
  <TotalTime>200</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Ilic</dc:creator>
  <cp:keywords/>
  <dc:description/>
  <cp:lastModifiedBy>A. Ivaskovic</cp:lastModifiedBy>
  <cp:revision>12</cp:revision>
  <dcterms:created xsi:type="dcterms:W3CDTF">2014-02-01T10:25:00Z</dcterms:created>
  <dcterms:modified xsi:type="dcterms:W3CDTF">2015-03-01T23:49:00Z</dcterms:modified>
</cp:coreProperties>
</file>