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8819BA3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1272C6">
        <w:rPr>
          <w:sz w:val="28"/>
          <w:szCs w:val="28"/>
        </w:rPr>
        <w:t>Носков Богдан Сергеевич</w:t>
      </w:r>
    </w:p>
    <w:p w14:paraId="3545719B" w14:textId="40A3035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197594">
        <w:rPr>
          <w:sz w:val="28"/>
          <w:szCs w:val="28"/>
        </w:rPr>
        <w:t>207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20AAC1F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16DB2D0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№1.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6A4BC77B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7830A20E" w14:textId="317483AC" w:rsidR="005E1BFB" w:rsidRDefault="005E1BFB" w:rsidP="00197594">
      <w:pPr>
        <w:ind w:firstLine="709"/>
        <w:jc w:val="both"/>
        <w:rPr>
          <w:b/>
          <w:bCs/>
          <w:sz w:val="28"/>
          <w:szCs w:val="28"/>
        </w:rPr>
      </w:pPr>
    </w:p>
    <w:p w14:paraId="31B98858" w14:textId="3F9AB8B5" w:rsidR="00E84B50" w:rsidRPr="00E84B50" w:rsidRDefault="00E84B50" w:rsidP="00E84B50">
      <w:pPr>
        <w:ind w:firstLine="709"/>
        <w:jc w:val="both"/>
        <w:rPr>
          <w:rFonts w:ascii="Calibri" w:hAnsi="Calibri" w:cs="Calibri"/>
          <w:color w:val="0D0D0D" w:themeColor="text1" w:themeTint="F2"/>
        </w:rPr>
      </w:pPr>
      <w:r w:rsidRPr="00E84B50">
        <w:rPr>
          <w:rFonts w:ascii="Calibri" w:hAnsi="Calibri" w:cs="Calibri"/>
          <w:color w:val="0D0D0D" w:themeColor="text1" w:themeTint="F2"/>
        </w:rPr>
        <w:t>«</w:t>
      </w:r>
      <w:r>
        <w:rPr>
          <w:rFonts w:ascii="Calibri" w:hAnsi="Calibri" w:cs="Calibri"/>
          <w:color w:val="0D0D0D" w:themeColor="text1" w:themeTint="F2"/>
        </w:rPr>
        <w:t xml:space="preserve">Приложения по оплате </w:t>
      </w:r>
      <w:proofErr w:type="gramStart"/>
      <w:r>
        <w:rPr>
          <w:rFonts w:ascii="Calibri" w:hAnsi="Calibri" w:cs="Calibri"/>
          <w:color w:val="0D0D0D" w:themeColor="text1" w:themeTint="F2"/>
        </w:rPr>
        <w:t xml:space="preserve">квитанций </w:t>
      </w:r>
      <w:r w:rsidRPr="00E84B50">
        <w:rPr>
          <w:rFonts w:ascii="Calibri" w:hAnsi="Calibri" w:cs="Calibri"/>
          <w:color w:val="0D0D0D" w:themeColor="text1" w:themeTint="F2"/>
        </w:rPr>
        <w:t>»</w:t>
      </w:r>
      <w:proofErr w:type="gramEnd"/>
      <w:r w:rsidRPr="00E84B50">
        <w:rPr>
          <w:rFonts w:ascii="Calibri" w:hAnsi="Calibri" w:cs="Calibri"/>
          <w:color w:val="0D0D0D" w:themeColor="text1" w:themeTint="F2"/>
        </w:rPr>
        <w:t xml:space="preserve"> и для нее необходимо выделить</w:t>
      </w:r>
    </w:p>
    <w:p w14:paraId="5DEC19F3" w14:textId="35B06EBD" w:rsidR="005E1BFB" w:rsidRDefault="00E84B50" w:rsidP="00E84B50">
      <w:pPr>
        <w:ind w:firstLine="709"/>
        <w:jc w:val="both"/>
        <w:rPr>
          <w:rFonts w:ascii="Calibri" w:hAnsi="Calibri" w:cs="Calibri"/>
          <w:color w:val="0D0D0D" w:themeColor="text1" w:themeTint="F2"/>
        </w:rPr>
      </w:pPr>
      <w:r w:rsidRPr="00E84B50">
        <w:rPr>
          <w:rFonts w:ascii="Calibri" w:hAnsi="Calibri" w:cs="Calibri"/>
          <w:color w:val="0D0D0D" w:themeColor="text1" w:themeTint="F2"/>
        </w:rPr>
        <w:t>действующих лиц.</w:t>
      </w:r>
    </w:p>
    <w:p w14:paraId="13D950AC" w14:textId="77777777" w:rsidR="00E84B50" w:rsidRDefault="00E84B50" w:rsidP="00197594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4EA372ED" w14:textId="44CB5FBF" w:rsidR="005E1BFB" w:rsidRPr="005E1BFB" w:rsidRDefault="005E1BFB" w:rsidP="005E1BFB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 w:rsidRPr="005E1BFB">
        <w:rPr>
          <w:rFonts w:ascii="Calibri" w:hAnsi="Calibri" w:cs="Calibri"/>
          <w:color w:val="0D0D0D" w:themeColor="text1" w:themeTint="F2"/>
        </w:rPr>
        <w:t>Авторизированный</w:t>
      </w:r>
      <w:r>
        <w:rPr>
          <w:rFonts w:ascii="Calibri" w:hAnsi="Calibri" w:cs="Calibri"/>
          <w:color w:val="0D0D0D" w:themeColor="text1" w:themeTint="F2"/>
        </w:rPr>
        <w:t xml:space="preserve"> – пользователь который может оплачивать квитанцию</w:t>
      </w:r>
    </w:p>
    <w:p w14:paraId="72738280" w14:textId="7F7023DF" w:rsidR="005E1BFB" w:rsidRPr="00E84B50" w:rsidRDefault="005E1BFB" w:rsidP="005E1BFB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Не а</w:t>
      </w:r>
      <w:r w:rsidRPr="005E1BFB">
        <w:rPr>
          <w:rFonts w:ascii="Calibri" w:hAnsi="Calibri" w:cs="Calibri"/>
          <w:color w:val="0D0D0D" w:themeColor="text1" w:themeTint="F2"/>
        </w:rPr>
        <w:t>вторизированный</w:t>
      </w:r>
      <w:r>
        <w:rPr>
          <w:rFonts w:ascii="Calibri" w:hAnsi="Calibri" w:cs="Calibri"/>
          <w:color w:val="0D0D0D" w:themeColor="text1" w:themeTint="F2"/>
        </w:rPr>
        <w:t xml:space="preserve"> – пользователь который может </w:t>
      </w:r>
      <w:r w:rsidR="00E84B50">
        <w:rPr>
          <w:rFonts w:ascii="Calibri" w:hAnsi="Calibri" w:cs="Calibri"/>
          <w:color w:val="0D0D0D" w:themeColor="text1" w:themeTint="F2"/>
        </w:rPr>
        <w:t xml:space="preserve">авторизоваться и зарегистрироваться </w:t>
      </w:r>
      <w:r>
        <w:rPr>
          <w:rFonts w:ascii="Calibri" w:hAnsi="Calibri" w:cs="Calibri"/>
          <w:color w:val="0D0D0D" w:themeColor="text1" w:themeTint="F2"/>
        </w:rPr>
        <w:t xml:space="preserve"> </w:t>
      </w:r>
      <w:r w:rsidR="00E84B50">
        <w:rPr>
          <w:rFonts w:ascii="Calibri" w:hAnsi="Calibri" w:cs="Calibri"/>
          <w:color w:val="0D0D0D" w:themeColor="text1" w:themeTint="F2"/>
        </w:rPr>
        <w:t xml:space="preserve"> </w:t>
      </w:r>
    </w:p>
    <w:p w14:paraId="0C1D1A0D" w14:textId="3F290BB1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4B261C4" w14:textId="08CF9F36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01B97E9" w14:textId="0BDC5E1F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0137C91" w14:textId="4E5B81B1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6B842F51" w14:textId="77777777" w:rsidR="00E84B50" w:rsidRP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E84B50">
        <w:rPr>
          <w:bCs/>
          <w:color w:val="0D0D0D" w:themeColor="text1" w:themeTint="F2"/>
          <w:sz w:val="28"/>
          <w:szCs w:val="28"/>
        </w:rPr>
        <w:t>Теперь для действующих лиц надо выделить прецеденты, которые будут</w:t>
      </w:r>
    </w:p>
    <w:p w14:paraId="278B343A" w14:textId="2BC2D932" w:rsid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E84B50">
        <w:rPr>
          <w:bCs/>
          <w:color w:val="0D0D0D" w:themeColor="text1" w:themeTint="F2"/>
          <w:sz w:val="28"/>
          <w:szCs w:val="28"/>
        </w:rPr>
        <w:t>предоставлять им возможность выполнять необходимые функции.</w:t>
      </w:r>
    </w:p>
    <w:p w14:paraId="6D1314E0" w14:textId="34373322" w:rsid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44B16B7B" w14:textId="1164F4BF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Авторизация –</w:t>
      </w:r>
      <w:r w:rsidR="008532F3">
        <w:rPr>
          <w:bCs/>
          <w:color w:val="0D0D0D" w:themeColor="text1" w:themeTint="F2"/>
          <w:sz w:val="28"/>
          <w:szCs w:val="28"/>
        </w:rPr>
        <w:t xml:space="preserve"> П</w:t>
      </w:r>
      <w:r>
        <w:rPr>
          <w:bCs/>
          <w:color w:val="0D0D0D" w:themeColor="text1" w:themeTint="F2"/>
          <w:sz w:val="28"/>
          <w:szCs w:val="28"/>
        </w:rPr>
        <w:t>озволяет пользователю авторизоваться</w:t>
      </w:r>
    </w:p>
    <w:p w14:paraId="283A1E0E" w14:textId="1542E8EC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Ввод ФИО Пароль –</w:t>
      </w:r>
      <w:r w:rsidR="008532F3">
        <w:rPr>
          <w:bCs/>
          <w:color w:val="0D0D0D" w:themeColor="text1" w:themeTint="F2"/>
          <w:sz w:val="28"/>
          <w:szCs w:val="28"/>
        </w:rPr>
        <w:t>П</w:t>
      </w:r>
      <w:r>
        <w:rPr>
          <w:bCs/>
          <w:color w:val="0D0D0D" w:themeColor="text1" w:themeTint="F2"/>
          <w:sz w:val="28"/>
          <w:szCs w:val="28"/>
        </w:rPr>
        <w:t>ользователь вводит ФИО и пароль</w:t>
      </w:r>
    </w:p>
    <w:p w14:paraId="43602375" w14:textId="5BF174E5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Установка приложения и</w:t>
      </w:r>
      <w:r w:rsidR="008532F3">
        <w:rPr>
          <w:bCs/>
          <w:color w:val="0D0D0D" w:themeColor="text1" w:themeTint="F2"/>
          <w:sz w:val="28"/>
          <w:szCs w:val="28"/>
        </w:rPr>
        <w:t xml:space="preserve"> регистрация- П</w:t>
      </w:r>
      <w:r>
        <w:rPr>
          <w:bCs/>
          <w:color w:val="0D0D0D" w:themeColor="text1" w:themeTint="F2"/>
          <w:sz w:val="28"/>
          <w:szCs w:val="28"/>
        </w:rPr>
        <w:t>ользователь может установить и зарегистрироваться в приложении</w:t>
      </w:r>
    </w:p>
    <w:p w14:paraId="76FAF7C6" w14:textId="2C237FAC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Привязка карты –</w:t>
      </w:r>
      <w:r w:rsidR="008532F3">
        <w:rPr>
          <w:bCs/>
          <w:color w:val="0D0D0D" w:themeColor="text1" w:themeTint="F2"/>
          <w:sz w:val="28"/>
          <w:szCs w:val="28"/>
        </w:rPr>
        <w:t xml:space="preserve"> П</w:t>
      </w:r>
      <w:r>
        <w:rPr>
          <w:bCs/>
          <w:color w:val="0D0D0D" w:themeColor="text1" w:themeTint="F2"/>
          <w:sz w:val="28"/>
          <w:szCs w:val="28"/>
        </w:rPr>
        <w:t xml:space="preserve">ользователь может привязать карту </w:t>
      </w:r>
    </w:p>
    <w:p w14:paraId="436BB89E" w14:textId="4E54592F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В</w:t>
      </w:r>
      <w:r w:rsidR="008532F3">
        <w:rPr>
          <w:bCs/>
          <w:color w:val="0D0D0D" w:themeColor="text1" w:themeTint="F2"/>
          <w:sz w:val="28"/>
          <w:szCs w:val="28"/>
        </w:rPr>
        <w:t>вод банковских данных</w:t>
      </w:r>
      <w:r>
        <w:rPr>
          <w:bCs/>
          <w:color w:val="0D0D0D" w:themeColor="text1" w:themeTint="F2"/>
          <w:sz w:val="28"/>
          <w:szCs w:val="28"/>
        </w:rPr>
        <w:t xml:space="preserve"> </w:t>
      </w:r>
      <w:r w:rsidR="005C08BA">
        <w:rPr>
          <w:bCs/>
          <w:color w:val="0D0D0D" w:themeColor="text1" w:themeTint="F2"/>
          <w:sz w:val="28"/>
          <w:szCs w:val="28"/>
        </w:rPr>
        <w:t>–</w:t>
      </w:r>
      <w:r>
        <w:rPr>
          <w:bCs/>
          <w:color w:val="0D0D0D" w:themeColor="text1" w:themeTint="F2"/>
          <w:sz w:val="28"/>
          <w:szCs w:val="28"/>
        </w:rPr>
        <w:t xml:space="preserve"> </w:t>
      </w:r>
      <w:r w:rsidR="005C08BA">
        <w:rPr>
          <w:bCs/>
          <w:color w:val="0D0D0D" w:themeColor="text1" w:themeTint="F2"/>
          <w:sz w:val="28"/>
          <w:szCs w:val="28"/>
        </w:rPr>
        <w:t>Пользователь вводит данные карты для привязки карты</w:t>
      </w:r>
    </w:p>
    <w:p w14:paraId="5BC35AFE" w14:textId="65AAD1DB" w:rsidR="005C08BA" w:rsidRDefault="005C08BA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Оплата квитанции – пользователь может оплатить квитанцию</w:t>
      </w:r>
    </w:p>
    <w:p w14:paraId="6541A00A" w14:textId="722CC0CA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Подтверждаем оплату- Пользователь подтверждает оплату квитанции</w:t>
      </w:r>
    </w:p>
    <w:p w14:paraId="37720D39" w14:textId="77777777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Показания счетчика- Пользователь вводит показания счетчика </w:t>
      </w:r>
    </w:p>
    <w:p w14:paraId="1CADE605" w14:textId="1A1C4ACC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Запрос отчет по оплате лицевого счета - Пользователь может запросить отчет по оплате лицевого счета </w:t>
      </w:r>
    </w:p>
    <w:p w14:paraId="4A6E24D0" w14:textId="3D3C6253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Указать период для отчета- Пользователь указывает период отчета для получения отчета по оплате</w:t>
      </w:r>
    </w:p>
    <w:p w14:paraId="5094F1DA" w14:textId="73019C15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proofErr w:type="gramStart"/>
      <w:r>
        <w:rPr>
          <w:bCs/>
          <w:color w:val="0D0D0D" w:themeColor="text1" w:themeTint="F2"/>
          <w:sz w:val="28"/>
          <w:szCs w:val="28"/>
        </w:rPr>
        <w:t>Скачать  квитанцию</w:t>
      </w:r>
      <w:proofErr w:type="gramEnd"/>
      <w:r>
        <w:rPr>
          <w:bCs/>
          <w:color w:val="0D0D0D" w:themeColor="text1" w:themeTint="F2"/>
          <w:sz w:val="28"/>
          <w:szCs w:val="28"/>
        </w:rPr>
        <w:t xml:space="preserve"> –Пользователь может Скачать квитанцию</w:t>
      </w:r>
    </w:p>
    <w:p w14:paraId="1FCDB9C8" w14:textId="70319575" w:rsidR="008532F3" w:rsidRPr="00E84B50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Закрыть – пользователь может закрыть приложение</w:t>
      </w:r>
    </w:p>
    <w:p w14:paraId="062CBB4C" w14:textId="1177B89B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556713">
        <w:rPr>
          <w:bCs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38F1D85E" wp14:editId="45BB4A4E">
            <wp:extent cx="6299835" cy="36963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83B0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0F721883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72D030C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6D8F13F2" w14:textId="5ADFF2BE" w:rsid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5C705703" w14:textId="77777777" w:rsidR="00556713" w:rsidRPr="00E84B50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556713" w:rsidRPr="00E84B50" w:rsidSect="00306F34">
      <w:headerReference w:type="default" r:id="rId8"/>
      <w:footerReference w:type="default" r:id="rId9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152F6" w14:textId="77777777" w:rsidR="00006764" w:rsidRDefault="00006764" w:rsidP="000F5545">
      <w:r>
        <w:separator/>
      </w:r>
    </w:p>
  </w:endnote>
  <w:endnote w:type="continuationSeparator" w:id="0">
    <w:p w14:paraId="5CF11F4C" w14:textId="77777777" w:rsidR="00006764" w:rsidRDefault="00006764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589F5" w14:textId="77777777" w:rsidR="00006764" w:rsidRDefault="00006764" w:rsidP="000F5545">
      <w:r>
        <w:separator/>
      </w:r>
    </w:p>
  </w:footnote>
  <w:footnote w:type="continuationSeparator" w:id="0">
    <w:p w14:paraId="4B4BCAAD" w14:textId="77777777" w:rsidR="00006764" w:rsidRDefault="00006764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7DB4D9EF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556713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7432B"/>
    <w:multiLevelType w:val="hybridMultilevel"/>
    <w:tmpl w:val="24787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7675D9"/>
    <w:multiLevelType w:val="hybridMultilevel"/>
    <w:tmpl w:val="D2767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06764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272C6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6713"/>
    <w:rsid w:val="00557452"/>
    <w:rsid w:val="00564A22"/>
    <w:rsid w:val="00591F95"/>
    <w:rsid w:val="0059246A"/>
    <w:rsid w:val="005A28E7"/>
    <w:rsid w:val="005C08BA"/>
    <w:rsid w:val="005C3507"/>
    <w:rsid w:val="005C6949"/>
    <w:rsid w:val="005D35E8"/>
    <w:rsid w:val="005E0749"/>
    <w:rsid w:val="005E1BFB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532F3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0A31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4B50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voron</cp:lastModifiedBy>
  <cp:revision>6</cp:revision>
  <cp:lastPrinted>2019-02-13T18:39:00Z</cp:lastPrinted>
  <dcterms:created xsi:type="dcterms:W3CDTF">2023-10-08T19:14:00Z</dcterms:created>
  <dcterms:modified xsi:type="dcterms:W3CDTF">2023-10-17T15:57:00Z</dcterms:modified>
</cp:coreProperties>
</file>