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B0B50" w14:textId="77777777" w:rsidR="003C5174" w:rsidRDefault="009F0A0E" w:rsidP="003C5174">
      <w:pPr>
        <w:rPr>
          <w:rFonts w:ascii="Times New Roman" w:hAnsi="Times New Roman" w:cs="Times New Roman"/>
          <w:b/>
          <w:caps/>
          <w:noProof/>
          <w:sz w:val="32"/>
          <w:lang w:eastAsia="fr-FR"/>
        </w:rPr>
      </w:pPr>
      <w:r>
        <w:rPr>
          <w:noProof/>
          <w:sz w:val="32"/>
          <w:lang w:eastAsia="fr-FR"/>
        </w:rPr>
        <w:tab/>
      </w:r>
      <w:r w:rsidR="003C5174" w:rsidRPr="00231CB7">
        <w:rPr>
          <w:noProof/>
          <w:sz w:val="32"/>
          <w:lang w:eastAsia="fr-FR"/>
        </w:rPr>
        <w:t>Chap I</w:t>
      </w:r>
      <w:r w:rsidR="003C5174">
        <w:rPr>
          <w:noProof/>
          <w:sz w:val="32"/>
          <w:lang w:eastAsia="fr-FR"/>
        </w:rPr>
        <w:t>V</w:t>
      </w:r>
      <w:r w:rsidR="003C5174" w:rsidRPr="00231CB7">
        <w:rPr>
          <w:noProof/>
          <w:sz w:val="32"/>
          <w:lang w:eastAsia="fr-FR"/>
        </w:rPr>
        <w:t> :</w:t>
      </w:r>
      <w:r w:rsidR="003C5174">
        <w:rPr>
          <w:rFonts w:ascii="Times New Roman" w:hAnsi="Times New Roman" w:cs="Times New Roman"/>
          <w:b/>
          <w:caps/>
          <w:noProof/>
          <w:sz w:val="32"/>
          <w:lang w:eastAsia="fr-FR"/>
        </w:rPr>
        <w:t xml:space="preserve"> le financement de l’investissement</w:t>
      </w:r>
    </w:p>
    <w:p w14:paraId="195DB7EF" w14:textId="77777777" w:rsidR="003C5174" w:rsidRDefault="003C5174" w:rsidP="003C5174">
      <w:pPr>
        <w:jc w:val="both"/>
        <w:rPr>
          <w:rFonts w:ascii="Times New Roman" w:hAnsi="Times New Roman" w:cs="Times New Roman"/>
          <w:noProof/>
          <w:sz w:val="24"/>
          <w:szCs w:val="24"/>
          <w:lang w:eastAsia="fr-FR"/>
        </w:rPr>
      </w:pPr>
      <w:r>
        <w:rPr>
          <w:noProof/>
          <w:lang w:eastAsia="fr-FR"/>
        </w:rPr>
        <w:tab/>
      </w:r>
      <w:r>
        <w:rPr>
          <w:rFonts w:ascii="Times New Roman" w:hAnsi="Times New Roman" w:cs="Times New Roman"/>
          <w:noProof/>
          <w:sz w:val="24"/>
          <w:szCs w:val="24"/>
          <w:lang w:eastAsia="fr-FR"/>
        </w:rPr>
        <w:t>Investir est une necessité pour les entreprises qui souhaitent survivre et rester compétitives : différents modes de financement sont à leur disposition pour leur permettre de réaliser ces investissements.</w:t>
      </w:r>
    </w:p>
    <w:p w14:paraId="3B660452" w14:textId="77777777" w:rsidR="003C5174" w:rsidRPr="0069434C" w:rsidRDefault="003C5174" w:rsidP="003C5174">
      <w:pPr>
        <w:pStyle w:val="Paragraphedeliste"/>
        <w:numPr>
          <w:ilvl w:val="0"/>
          <w:numId w:val="2"/>
        </w:numPr>
        <w:rPr>
          <w:rFonts w:ascii="Times New Roman" w:hAnsi="Times New Roman" w:cs="Times New Roman"/>
          <w:b/>
          <w:sz w:val="24"/>
          <w:szCs w:val="24"/>
        </w:rPr>
      </w:pPr>
      <w:r w:rsidRPr="0069434C">
        <w:rPr>
          <w:rFonts w:ascii="Times New Roman" w:hAnsi="Times New Roman" w:cs="Times New Roman"/>
          <w:b/>
          <w:noProof/>
          <w:sz w:val="24"/>
          <w:szCs w:val="24"/>
          <w:lang w:eastAsia="fr-FR"/>
        </w:rPr>
        <w:t xml:space="preserve">Pourquoi investir ? </w:t>
      </w:r>
    </w:p>
    <w:p w14:paraId="53C095FB" w14:textId="77777777" w:rsidR="003C5174" w:rsidRPr="008B6450" w:rsidRDefault="003C5174" w:rsidP="003C5174">
      <w:pPr>
        <w:jc w:val="both"/>
        <w:rPr>
          <w:b/>
          <w:sz w:val="24"/>
        </w:rPr>
      </w:pPr>
      <w:r>
        <w:rPr>
          <w:sz w:val="24"/>
        </w:rPr>
        <w:t>Pour l’entreprise, investir consiste à acquérir des biens durables (meubles ou immeubles, corporels ou incorporels) pour lui permettre de réaliser son activité d’exploitation et générer des gains ultérieurs </w:t>
      </w:r>
      <w:r w:rsidRPr="008B6450">
        <w:rPr>
          <w:b/>
          <w:sz w:val="24"/>
        </w:rPr>
        <w:t>: l’investissement est donc un pari risqué sur l’avenir.</w:t>
      </w:r>
    </w:p>
    <w:p w14:paraId="1E469002" w14:textId="77777777" w:rsidR="003C5174" w:rsidRDefault="003C5174" w:rsidP="003C5174">
      <w:pPr>
        <w:jc w:val="both"/>
        <w:rPr>
          <w:sz w:val="24"/>
        </w:rPr>
      </w:pPr>
      <w:r>
        <w:rPr>
          <w:sz w:val="24"/>
        </w:rPr>
        <w:t xml:space="preserve">On distingue en général l’investissement matériel  de l’investissement immatériel : </w:t>
      </w:r>
    </w:p>
    <w:p w14:paraId="140F5DB1" w14:textId="77777777" w:rsidR="003C5174" w:rsidRDefault="003C5174" w:rsidP="003C5174">
      <w:pPr>
        <w:pStyle w:val="Paragraphedeliste"/>
        <w:numPr>
          <w:ilvl w:val="0"/>
          <w:numId w:val="3"/>
        </w:numPr>
        <w:rPr>
          <w:sz w:val="24"/>
        </w:rPr>
      </w:pPr>
      <w:r w:rsidRPr="00EB70F8">
        <w:rPr>
          <w:sz w:val="24"/>
        </w:rPr>
        <w:t>L’investissement matériel composé de bien</w:t>
      </w:r>
      <w:r>
        <w:rPr>
          <w:sz w:val="24"/>
        </w:rPr>
        <w:t>s</w:t>
      </w:r>
      <w:r w:rsidRPr="00EB70F8">
        <w:rPr>
          <w:sz w:val="24"/>
        </w:rPr>
        <w:t xml:space="preserve"> corporel</w:t>
      </w:r>
      <w:r>
        <w:rPr>
          <w:sz w:val="24"/>
        </w:rPr>
        <w:t>s</w:t>
      </w:r>
      <w:r w:rsidRPr="00EB70F8">
        <w:rPr>
          <w:sz w:val="24"/>
        </w:rPr>
        <w:t xml:space="preserve"> permet :</w:t>
      </w:r>
    </w:p>
    <w:p w14:paraId="2C8A1549" w14:textId="77777777" w:rsidR="003C5174" w:rsidRDefault="003C5174" w:rsidP="003C5174">
      <w:pPr>
        <w:pStyle w:val="Paragraphedeliste"/>
        <w:numPr>
          <w:ilvl w:val="0"/>
          <w:numId w:val="1"/>
        </w:numPr>
        <w:rPr>
          <w:sz w:val="24"/>
        </w:rPr>
      </w:pPr>
      <w:r>
        <w:rPr>
          <w:sz w:val="24"/>
        </w:rPr>
        <w:t>D’augmenter les capacités de production (investissement de capacité) ;</w:t>
      </w:r>
    </w:p>
    <w:p w14:paraId="485F5E05" w14:textId="77777777" w:rsidR="003C5174" w:rsidRDefault="003C5174" w:rsidP="003C5174">
      <w:pPr>
        <w:pStyle w:val="Paragraphedeliste"/>
        <w:numPr>
          <w:ilvl w:val="0"/>
          <w:numId w:val="1"/>
        </w:numPr>
        <w:rPr>
          <w:sz w:val="24"/>
        </w:rPr>
      </w:pPr>
      <w:r>
        <w:rPr>
          <w:sz w:val="24"/>
        </w:rPr>
        <w:t>De moderniser l’appareil de production (investissement de modernisation ou de capacité) ;</w:t>
      </w:r>
    </w:p>
    <w:p w14:paraId="0DA6D11E" w14:textId="77777777" w:rsidR="003C5174" w:rsidRPr="00EB70F8" w:rsidRDefault="003C5174" w:rsidP="003C5174">
      <w:pPr>
        <w:pStyle w:val="Paragraphedeliste"/>
        <w:numPr>
          <w:ilvl w:val="0"/>
          <w:numId w:val="1"/>
        </w:numPr>
        <w:rPr>
          <w:sz w:val="24"/>
        </w:rPr>
      </w:pPr>
      <w:r>
        <w:rPr>
          <w:sz w:val="24"/>
        </w:rPr>
        <w:t>De remplacer un appareil usé ou obsolète (investissement de renouvellement).</w:t>
      </w:r>
    </w:p>
    <w:p w14:paraId="53B12392" w14:textId="77777777" w:rsidR="003C5174" w:rsidRDefault="003C5174" w:rsidP="003C5174">
      <w:pPr>
        <w:pStyle w:val="Paragraphedeliste"/>
        <w:numPr>
          <w:ilvl w:val="0"/>
          <w:numId w:val="3"/>
        </w:numPr>
        <w:rPr>
          <w:sz w:val="24"/>
        </w:rPr>
      </w:pPr>
      <w:r>
        <w:rPr>
          <w:sz w:val="24"/>
        </w:rPr>
        <w:t>L’investissement immatériel (biens incorporels) se compose :</w:t>
      </w:r>
    </w:p>
    <w:p w14:paraId="4DAE704E" w14:textId="77777777" w:rsidR="003C5174" w:rsidRDefault="003C5174" w:rsidP="003C5174">
      <w:pPr>
        <w:pStyle w:val="Paragraphedeliste"/>
        <w:numPr>
          <w:ilvl w:val="0"/>
          <w:numId w:val="1"/>
        </w:numPr>
        <w:rPr>
          <w:sz w:val="24"/>
        </w:rPr>
      </w:pPr>
      <w:r>
        <w:rPr>
          <w:sz w:val="24"/>
        </w:rPr>
        <w:t>Des investissements en recherche et développement ;</w:t>
      </w:r>
    </w:p>
    <w:p w14:paraId="38173920" w14:textId="77777777" w:rsidR="003C5174" w:rsidRDefault="003C5174" w:rsidP="003C5174">
      <w:pPr>
        <w:pStyle w:val="Paragraphedeliste"/>
        <w:numPr>
          <w:ilvl w:val="0"/>
          <w:numId w:val="1"/>
        </w:numPr>
        <w:rPr>
          <w:sz w:val="24"/>
        </w:rPr>
      </w:pPr>
      <w:r>
        <w:rPr>
          <w:sz w:val="24"/>
        </w:rPr>
        <w:t>Des dépenses commerciales (ex : publicité) ;</w:t>
      </w:r>
    </w:p>
    <w:p w14:paraId="6DF763D4" w14:textId="77777777" w:rsidR="003C5174" w:rsidRDefault="003C5174" w:rsidP="003C5174">
      <w:pPr>
        <w:pStyle w:val="Paragraphedeliste"/>
        <w:numPr>
          <w:ilvl w:val="0"/>
          <w:numId w:val="1"/>
        </w:numPr>
        <w:rPr>
          <w:sz w:val="24"/>
        </w:rPr>
      </w:pPr>
      <w:r>
        <w:rPr>
          <w:sz w:val="24"/>
        </w:rPr>
        <w:t>Des investissements en ressources humaines (ex : formation du personnel) ;</w:t>
      </w:r>
    </w:p>
    <w:p w14:paraId="46BDA8BD" w14:textId="77777777" w:rsidR="003C5174" w:rsidRPr="00E45D41" w:rsidRDefault="003C5174" w:rsidP="003C5174">
      <w:pPr>
        <w:pStyle w:val="Paragraphedeliste"/>
        <w:numPr>
          <w:ilvl w:val="0"/>
          <w:numId w:val="1"/>
        </w:numPr>
        <w:rPr>
          <w:sz w:val="24"/>
        </w:rPr>
      </w:pPr>
      <w:r w:rsidRPr="00E45D41">
        <w:rPr>
          <w:sz w:val="24"/>
        </w:rPr>
        <w:t>Des achats de logiciels ou de titres de propriété incorporelle (ex brevet, marque)</w:t>
      </w:r>
      <w:r>
        <w:rPr>
          <w:sz w:val="24"/>
        </w:rPr>
        <w:t>.</w:t>
      </w:r>
    </w:p>
    <w:p w14:paraId="74FF23B6" w14:textId="77777777" w:rsidR="003C5174" w:rsidRDefault="003C5174" w:rsidP="003C5174">
      <w:pPr>
        <w:pStyle w:val="Paragraphedeliste"/>
        <w:rPr>
          <w:sz w:val="24"/>
        </w:rPr>
      </w:pPr>
    </w:p>
    <w:p w14:paraId="7B0A0123" w14:textId="77777777" w:rsidR="003C5174" w:rsidRDefault="003C5174" w:rsidP="003C5174">
      <w:pPr>
        <w:pStyle w:val="Paragraphedeliste"/>
        <w:numPr>
          <w:ilvl w:val="0"/>
          <w:numId w:val="2"/>
        </w:numPr>
        <w:rPr>
          <w:b/>
          <w:sz w:val="24"/>
        </w:rPr>
      </w:pPr>
      <w:r w:rsidRPr="00B54EB6">
        <w:rPr>
          <w:b/>
          <w:sz w:val="24"/>
        </w:rPr>
        <w:t>L’investissement est une décision à long terme</w:t>
      </w:r>
    </w:p>
    <w:p w14:paraId="49DA9E04" w14:textId="77777777" w:rsidR="003C5174" w:rsidRDefault="003C5174" w:rsidP="003C5174">
      <w:pPr>
        <w:ind w:left="360"/>
        <w:jc w:val="both"/>
        <w:rPr>
          <w:rFonts w:ascii="Times New Roman" w:hAnsi="Times New Roman" w:cs="Times New Roman"/>
          <w:sz w:val="24"/>
          <w:szCs w:val="24"/>
        </w:rPr>
      </w:pPr>
      <w:r>
        <w:rPr>
          <w:rFonts w:ascii="Times New Roman" w:hAnsi="Times New Roman" w:cs="Times New Roman"/>
          <w:sz w:val="24"/>
          <w:szCs w:val="24"/>
        </w:rPr>
        <w:t xml:space="preserve">La décision d’investir engage l’entreprise pour plusieurs années : il s’agit d’emplois (figurant donc à l’actif comptable, dans les actifs immobilisés) dont le retour financier (récupération du capital investi) se fait à moyen ou long terme. Pour que les entreprises puissent financer les investissements sans rompre leur équilibre financier, elles doivent obtenir des financements d’une durée égale à celle de l’investissement. </w:t>
      </w:r>
    </w:p>
    <w:p w14:paraId="62ECD47F" w14:textId="77777777" w:rsidR="003C5174" w:rsidRDefault="003C5174" w:rsidP="003C5174">
      <w:pPr>
        <w:pStyle w:val="Paragraphedeliste"/>
        <w:numPr>
          <w:ilvl w:val="0"/>
          <w:numId w:val="2"/>
        </w:numPr>
        <w:rPr>
          <w:rFonts w:ascii="Times New Roman" w:hAnsi="Times New Roman" w:cs="Times New Roman"/>
          <w:b/>
          <w:sz w:val="24"/>
          <w:szCs w:val="24"/>
        </w:rPr>
      </w:pPr>
      <w:r>
        <w:rPr>
          <w:rFonts w:ascii="Times New Roman" w:hAnsi="Times New Roman" w:cs="Times New Roman"/>
          <w:b/>
          <w:sz w:val="24"/>
          <w:szCs w:val="24"/>
        </w:rPr>
        <w:t>Comment l’entreprise finance-t-elle ses investissements ?</w:t>
      </w:r>
    </w:p>
    <w:p w14:paraId="32A0EC32" w14:textId="77777777" w:rsidR="003C5174" w:rsidRDefault="003C5174" w:rsidP="003C5174">
      <w:pPr>
        <w:ind w:left="360"/>
        <w:jc w:val="both"/>
        <w:rPr>
          <w:rFonts w:ascii="Times New Roman" w:hAnsi="Times New Roman" w:cs="Times New Roman"/>
          <w:sz w:val="24"/>
          <w:szCs w:val="24"/>
        </w:rPr>
      </w:pPr>
      <w:r>
        <w:rPr>
          <w:rFonts w:ascii="Times New Roman" w:hAnsi="Times New Roman" w:cs="Times New Roman"/>
          <w:sz w:val="24"/>
          <w:szCs w:val="24"/>
        </w:rPr>
        <w:t xml:space="preserve">L’entreprise peut financer ses investissements grâce à des sources externes, à sa capacité d’autofinancement. </w:t>
      </w:r>
    </w:p>
    <w:p w14:paraId="62920EC2" w14:textId="77777777" w:rsidR="003C5174" w:rsidRDefault="003C5174" w:rsidP="003C5174">
      <w:pPr>
        <w:ind w:left="360"/>
        <w:rPr>
          <w:rFonts w:ascii="Times New Roman" w:hAnsi="Times New Roman" w:cs="Times New Roman"/>
          <w:sz w:val="24"/>
          <w:szCs w:val="24"/>
        </w:rPr>
      </w:pPr>
    </w:p>
    <w:p w14:paraId="184D0517" w14:textId="77777777" w:rsidR="003C5174" w:rsidRDefault="003C5174" w:rsidP="003C5174">
      <w:pPr>
        <w:pStyle w:val="Paragraphedeliste"/>
        <w:numPr>
          <w:ilvl w:val="0"/>
          <w:numId w:val="4"/>
        </w:numPr>
        <w:rPr>
          <w:rFonts w:ascii="Times New Roman" w:hAnsi="Times New Roman" w:cs="Times New Roman"/>
          <w:b/>
          <w:sz w:val="24"/>
          <w:szCs w:val="24"/>
        </w:rPr>
      </w:pPr>
      <w:r w:rsidRPr="005166C1">
        <w:rPr>
          <w:rFonts w:ascii="Times New Roman" w:hAnsi="Times New Roman" w:cs="Times New Roman"/>
          <w:b/>
          <w:sz w:val="24"/>
          <w:szCs w:val="24"/>
        </w:rPr>
        <w:t xml:space="preserve">Le financement externe de l’entreprise </w:t>
      </w:r>
    </w:p>
    <w:tbl>
      <w:tblPr>
        <w:tblStyle w:val="Grilledutableau"/>
        <w:tblW w:w="9104" w:type="dxa"/>
        <w:tblInd w:w="360" w:type="dxa"/>
        <w:tblLook w:val="04A0" w:firstRow="1" w:lastRow="0" w:firstColumn="1" w:lastColumn="0" w:noHBand="0" w:noVBand="1"/>
      </w:tblPr>
      <w:tblGrid>
        <w:gridCol w:w="2158"/>
        <w:gridCol w:w="2319"/>
        <w:gridCol w:w="2229"/>
        <w:gridCol w:w="2398"/>
      </w:tblGrid>
      <w:tr w:rsidR="003C5174" w:rsidRPr="005166C1" w14:paraId="05304189" w14:textId="77777777" w:rsidTr="00BE19D3">
        <w:tc>
          <w:tcPr>
            <w:tcW w:w="2158" w:type="dxa"/>
          </w:tcPr>
          <w:p w14:paraId="5DC90A50" w14:textId="77777777" w:rsidR="003C5174" w:rsidRPr="005166C1" w:rsidRDefault="003C5174" w:rsidP="00BE19D3">
            <w:pPr>
              <w:jc w:val="center"/>
              <w:rPr>
                <w:rFonts w:ascii="Times New Roman" w:hAnsi="Times New Roman" w:cs="Times New Roman"/>
                <w:b/>
                <w:sz w:val="24"/>
                <w:szCs w:val="24"/>
              </w:rPr>
            </w:pPr>
            <w:r w:rsidRPr="005166C1">
              <w:rPr>
                <w:rFonts w:ascii="Times New Roman" w:hAnsi="Times New Roman" w:cs="Times New Roman"/>
                <w:b/>
                <w:sz w:val="24"/>
                <w:szCs w:val="24"/>
              </w:rPr>
              <w:t>Sources</w:t>
            </w:r>
          </w:p>
        </w:tc>
        <w:tc>
          <w:tcPr>
            <w:tcW w:w="2319" w:type="dxa"/>
          </w:tcPr>
          <w:p w14:paraId="049D796E" w14:textId="77777777" w:rsidR="003C5174" w:rsidRPr="005166C1" w:rsidRDefault="003C5174" w:rsidP="00BE19D3">
            <w:pPr>
              <w:jc w:val="center"/>
              <w:rPr>
                <w:rFonts w:ascii="Times New Roman" w:hAnsi="Times New Roman" w:cs="Times New Roman"/>
                <w:b/>
                <w:sz w:val="24"/>
                <w:szCs w:val="24"/>
              </w:rPr>
            </w:pPr>
            <w:r w:rsidRPr="005166C1">
              <w:rPr>
                <w:rFonts w:ascii="Times New Roman" w:hAnsi="Times New Roman" w:cs="Times New Roman"/>
                <w:b/>
                <w:sz w:val="24"/>
                <w:szCs w:val="24"/>
              </w:rPr>
              <w:t>Définitions</w:t>
            </w:r>
          </w:p>
        </w:tc>
        <w:tc>
          <w:tcPr>
            <w:tcW w:w="2229" w:type="dxa"/>
          </w:tcPr>
          <w:p w14:paraId="284826B0" w14:textId="77777777" w:rsidR="003C5174" w:rsidRPr="005166C1" w:rsidRDefault="003C5174" w:rsidP="00BE19D3">
            <w:pPr>
              <w:jc w:val="center"/>
              <w:rPr>
                <w:rFonts w:ascii="Times New Roman" w:hAnsi="Times New Roman" w:cs="Times New Roman"/>
                <w:b/>
                <w:sz w:val="24"/>
                <w:szCs w:val="24"/>
              </w:rPr>
            </w:pPr>
            <w:r w:rsidRPr="005166C1">
              <w:rPr>
                <w:rFonts w:ascii="Times New Roman" w:hAnsi="Times New Roman" w:cs="Times New Roman"/>
                <w:b/>
                <w:sz w:val="24"/>
                <w:szCs w:val="24"/>
              </w:rPr>
              <w:t>Intérêts</w:t>
            </w:r>
          </w:p>
        </w:tc>
        <w:tc>
          <w:tcPr>
            <w:tcW w:w="2398" w:type="dxa"/>
          </w:tcPr>
          <w:p w14:paraId="7300EA7A" w14:textId="77777777" w:rsidR="003C5174" w:rsidRPr="005166C1" w:rsidRDefault="003C5174" w:rsidP="00BE19D3">
            <w:pPr>
              <w:jc w:val="center"/>
              <w:rPr>
                <w:rFonts w:ascii="Times New Roman" w:hAnsi="Times New Roman" w:cs="Times New Roman"/>
                <w:b/>
                <w:sz w:val="24"/>
                <w:szCs w:val="24"/>
              </w:rPr>
            </w:pPr>
            <w:r w:rsidRPr="005166C1">
              <w:rPr>
                <w:rFonts w:ascii="Times New Roman" w:hAnsi="Times New Roman" w:cs="Times New Roman"/>
                <w:b/>
                <w:sz w:val="24"/>
                <w:szCs w:val="24"/>
              </w:rPr>
              <w:t>Limites</w:t>
            </w:r>
          </w:p>
        </w:tc>
      </w:tr>
      <w:tr w:rsidR="003C5174" w:rsidRPr="00E457F4" w14:paraId="7264A7E1" w14:textId="77777777" w:rsidTr="00BE19D3">
        <w:tc>
          <w:tcPr>
            <w:tcW w:w="2158" w:type="dxa"/>
          </w:tcPr>
          <w:p w14:paraId="274ED7F3"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lastRenderedPageBreak/>
              <w:t>Emprunt bancaire à moyen ou long terme</w:t>
            </w:r>
          </w:p>
        </w:tc>
        <w:tc>
          <w:tcPr>
            <w:tcW w:w="2319" w:type="dxa"/>
          </w:tcPr>
          <w:p w14:paraId="16BF3B14"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La banque met à la disposition d’une entreprise</w:t>
            </w:r>
            <w:r>
              <w:rPr>
                <w:rFonts w:ascii="Times New Roman" w:hAnsi="Times New Roman" w:cs="Times New Roman"/>
              </w:rPr>
              <w:t xml:space="preserve"> des capitaux en contrepartie</w:t>
            </w:r>
            <w:r w:rsidRPr="00C03AF5">
              <w:rPr>
                <w:rFonts w:ascii="Times New Roman" w:hAnsi="Times New Roman" w:cs="Times New Roman"/>
              </w:rPr>
              <w:t xml:space="preserve"> du versement périodique d’un intérêt ainsi que du remboursement du capital emprunté selon les conditions fixées au contrat d’emprunt</w:t>
            </w:r>
          </w:p>
        </w:tc>
        <w:tc>
          <w:tcPr>
            <w:tcW w:w="2229" w:type="dxa"/>
          </w:tcPr>
          <w:p w14:paraId="414A31C7"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Il s’agit d’un moyen simple et rapide d’obtenir un financement.</w:t>
            </w:r>
          </w:p>
        </w:tc>
        <w:tc>
          <w:tcPr>
            <w:tcW w:w="2398" w:type="dxa"/>
          </w:tcPr>
          <w:p w14:paraId="56646C05"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-Co</w:t>
            </w:r>
            <w:r>
              <w:rPr>
                <w:rFonts w:ascii="Times New Roman" w:hAnsi="Times New Roman" w:cs="Times New Roman"/>
              </w:rPr>
              <w:t>û</w:t>
            </w:r>
            <w:r w:rsidRPr="00C03AF5">
              <w:rPr>
                <w:rFonts w:ascii="Times New Roman" w:hAnsi="Times New Roman" w:cs="Times New Roman"/>
              </w:rPr>
              <w:t>t souvent élevé (dépend surtout des taux d’intérêt).</w:t>
            </w:r>
          </w:p>
          <w:p w14:paraId="6590D5A7"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-Des garanti</w:t>
            </w:r>
            <w:r>
              <w:rPr>
                <w:rFonts w:ascii="Times New Roman" w:hAnsi="Times New Roman" w:cs="Times New Roman"/>
              </w:rPr>
              <w:t>e</w:t>
            </w:r>
            <w:r w:rsidRPr="00C03AF5">
              <w:rPr>
                <w:rFonts w:ascii="Times New Roman" w:hAnsi="Times New Roman" w:cs="Times New Roman"/>
              </w:rPr>
              <w:t>s sont souvent exigées par la banque (suretés).</w:t>
            </w:r>
          </w:p>
          <w:p w14:paraId="00615FB5" w14:textId="77777777" w:rsidR="003C5174" w:rsidRDefault="003C5174" w:rsidP="00BE19D3">
            <w:pPr>
              <w:rPr>
                <w:rFonts w:ascii="Times New Roman" w:hAnsi="Times New Roman" w:cs="Times New Roman"/>
              </w:rPr>
            </w:pPr>
            <w:r w:rsidRPr="00C03AF5">
              <w:rPr>
                <w:rFonts w:ascii="Times New Roman" w:hAnsi="Times New Roman" w:cs="Times New Roman"/>
              </w:rPr>
              <w:t xml:space="preserve">-Un apport de l’entreprise emprunteuse </w:t>
            </w:r>
          </w:p>
          <w:p w14:paraId="32A155C8" w14:textId="77777777" w:rsidR="003C5174" w:rsidRPr="00C03AF5" w:rsidRDefault="003C5174" w:rsidP="00BE19D3">
            <w:pPr>
              <w:rPr>
                <w:rFonts w:ascii="Times New Roman" w:hAnsi="Times New Roman" w:cs="Times New Roman"/>
              </w:rPr>
            </w:pPr>
            <w:r>
              <w:rPr>
                <w:rFonts w:ascii="Times New Roman" w:hAnsi="Times New Roman" w:cs="Times New Roman"/>
              </w:rPr>
              <w:t>est souvent exigé</w:t>
            </w:r>
            <w:r w:rsidRPr="00C03AF5">
              <w:rPr>
                <w:rFonts w:ascii="Times New Roman" w:hAnsi="Times New Roman" w:cs="Times New Roman"/>
              </w:rPr>
              <w:t xml:space="preserve"> </w:t>
            </w:r>
          </w:p>
        </w:tc>
      </w:tr>
      <w:tr w:rsidR="003C5174" w14:paraId="6C3D6D1C" w14:textId="77777777" w:rsidTr="00BE19D3">
        <w:tc>
          <w:tcPr>
            <w:tcW w:w="2158" w:type="dxa"/>
          </w:tcPr>
          <w:p w14:paraId="1A89633E"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 xml:space="preserve">Augmentation du capital (appel </w:t>
            </w:r>
            <w:r>
              <w:rPr>
                <w:rFonts w:ascii="Times New Roman" w:hAnsi="Times New Roman" w:cs="Times New Roman"/>
              </w:rPr>
              <w:t xml:space="preserve">public </w:t>
            </w:r>
            <w:r w:rsidRPr="00C03AF5">
              <w:rPr>
                <w:rFonts w:ascii="Times New Roman" w:hAnsi="Times New Roman" w:cs="Times New Roman"/>
              </w:rPr>
              <w:t>à l’épargne)</w:t>
            </w:r>
          </w:p>
        </w:tc>
        <w:tc>
          <w:tcPr>
            <w:tcW w:w="2319" w:type="dxa"/>
          </w:tcPr>
          <w:p w14:paraId="23B108C8"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Emission de nouvel</w:t>
            </w:r>
            <w:r>
              <w:rPr>
                <w:rFonts w:ascii="Times New Roman" w:hAnsi="Times New Roman" w:cs="Times New Roman"/>
              </w:rPr>
              <w:t xml:space="preserve">les parts sociales distribuées aux </w:t>
            </w:r>
            <w:r w:rsidRPr="00C03AF5">
              <w:rPr>
                <w:rFonts w:ascii="Times New Roman" w:hAnsi="Times New Roman" w:cs="Times New Roman"/>
              </w:rPr>
              <w:t xml:space="preserve"> associé</w:t>
            </w:r>
            <w:r>
              <w:rPr>
                <w:rFonts w:ascii="Times New Roman" w:hAnsi="Times New Roman" w:cs="Times New Roman"/>
              </w:rPr>
              <w:t>s actuel</w:t>
            </w:r>
            <w:r w:rsidRPr="00C03AF5">
              <w:rPr>
                <w:rFonts w:ascii="Times New Roman" w:hAnsi="Times New Roman" w:cs="Times New Roman"/>
              </w:rPr>
              <w:t>s, ou à de nouveau</w:t>
            </w:r>
            <w:r>
              <w:rPr>
                <w:rFonts w:ascii="Times New Roman" w:hAnsi="Times New Roman" w:cs="Times New Roman"/>
              </w:rPr>
              <w:t>x</w:t>
            </w:r>
            <w:r w:rsidRPr="00C03AF5">
              <w:rPr>
                <w:rFonts w:ascii="Times New Roman" w:hAnsi="Times New Roman" w:cs="Times New Roman"/>
              </w:rPr>
              <w:t xml:space="preserve"> associés en échange de bien</w:t>
            </w:r>
            <w:r>
              <w:rPr>
                <w:rFonts w:ascii="Times New Roman" w:hAnsi="Times New Roman" w:cs="Times New Roman"/>
              </w:rPr>
              <w:t>s</w:t>
            </w:r>
            <w:r w:rsidRPr="00C03AF5">
              <w:rPr>
                <w:rFonts w:ascii="Times New Roman" w:hAnsi="Times New Roman" w:cs="Times New Roman"/>
              </w:rPr>
              <w:t xml:space="preserve"> réels (apport en nature) ou de capitaux (apport </w:t>
            </w:r>
            <w:r>
              <w:rPr>
                <w:rFonts w:ascii="Times New Roman" w:hAnsi="Times New Roman" w:cs="Times New Roman"/>
              </w:rPr>
              <w:t xml:space="preserve">en </w:t>
            </w:r>
            <w:r w:rsidRPr="00C03AF5">
              <w:rPr>
                <w:rFonts w:ascii="Times New Roman" w:hAnsi="Times New Roman" w:cs="Times New Roman"/>
              </w:rPr>
              <w:t>numéraire). Cette augmentation de capital peut se faire par appel public à l’épargne sous certaines conditions</w:t>
            </w:r>
          </w:p>
        </w:tc>
        <w:tc>
          <w:tcPr>
            <w:tcW w:w="2229" w:type="dxa"/>
          </w:tcPr>
          <w:p w14:paraId="59AAB087"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-L’augmentation de cap</w:t>
            </w:r>
            <w:r>
              <w:rPr>
                <w:rFonts w:ascii="Times New Roman" w:hAnsi="Times New Roman" w:cs="Times New Roman"/>
              </w:rPr>
              <w:t>i</w:t>
            </w:r>
            <w:r w:rsidRPr="00C03AF5">
              <w:rPr>
                <w:rFonts w:ascii="Times New Roman" w:hAnsi="Times New Roman" w:cs="Times New Roman"/>
              </w:rPr>
              <w:t>tal est un moyen peu co</w:t>
            </w:r>
            <w:r>
              <w:rPr>
                <w:rFonts w:ascii="Times New Roman" w:hAnsi="Times New Roman" w:cs="Times New Roman"/>
              </w:rPr>
              <w:t>û</w:t>
            </w:r>
            <w:r w:rsidRPr="00C03AF5">
              <w:rPr>
                <w:rFonts w:ascii="Times New Roman" w:hAnsi="Times New Roman" w:cs="Times New Roman"/>
              </w:rPr>
              <w:t>teux d’obtenir des fonds.</w:t>
            </w:r>
          </w:p>
          <w:p w14:paraId="04431D03"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 En cas d’appel public à l’épargne, des sommes importantes peuvent être collectées.</w:t>
            </w:r>
          </w:p>
        </w:tc>
        <w:tc>
          <w:tcPr>
            <w:tcW w:w="2398" w:type="dxa"/>
          </w:tcPr>
          <w:p w14:paraId="1DBCBA22"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 xml:space="preserve">L’introduction dans le capital de la société de nouveaux associés peut faire perdre son contrôle aux actionnaires actuels (on parle alors de </w:t>
            </w:r>
            <w:r>
              <w:rPr>
                <w:rFonts w:ascii="Times New Roman" w:hAnsi="Times New Roman" w:cs="Times New Roman"/>
              </w:rPr>
              <w:t>dilution</w:t>
            </w:r>
            <w:r w:rsidRPr="00C03AF5">
              <w:rPr>
                <w:rFonts w:ascii="Times New Roman" w:hAnsi="Times New Roman" w:cs="Times New Roman"/>
              </w:rPr>
              <w:t xml:space="preserve"> de capital)</w:t>
            </w:r>
          </w:p>
        </w:tc>
      </w:tr>
      <w:tr w:rsidR="003C5174" w14:paraId="6AFC4032" w14:textId="77777777" w:rsidTr="00BE19D3">
        <w:tc>
          <w:tcPr>
            <w:tcW w:w="2158" w:type="dxa"/>
          </w:tcPr>
          <w:p w14:paraId="0B8FC54F"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Emprunt obligataire (emprunt au niveau du public par émission d’obligation</w:t>
            </w:r>
            <w:r w:rsidR="005C2138">
              <w:rPr>
                <w:rFonts w:ascii="Times New Roman" w:hAnsi="Times New Roman" w:cs="Times New Roman"/>
              </w:rPr>
              <w:t>s</w:t>
            </w:r>
            <w:r w:rsidRPr="00C03AF5">
              <w:rPr>
                <w:rFonts w:ascii="Times New Roman" w:hAnsi="Times New Roman" w:cs="Times New Roman"/>
              </w:rPr>
              <w:t>)</w:t>
            </w:r>
          </w:p>
        </w:tc>
        <w:tc>
          <w:tcPr>
            <w:tcW w:w="2319" w:type="dxa"/>
          </w:tcPr>
          <w:p w14:paraId="25911E2D" w14:textId="6F6C9E24" w:rsidR="003C5174" w:rsidRPr="00C03AF5" w:rsidRDefault="003C5174" w:rsidP="00BE19D3">
            <w:pPr>
              <w:rPr>
                <w:rFonts w:ascii="Times New Roman" w:hAnsi="Times New Roman" w:cs="Times New Roman"/>
              </w:rPr>
            </w:pPr>
            <w:r w:rsidRPr="00C03AF5">
              <w:rPr>
                <w:rFonts w:ascii="Times New Roman" w:hAnsi="Times New Roman" w:cs="Times New Roman"/>
              </w:rPr>
              <w:t>Il s’agit d’un emprunt à long terme divisé en parts égales matérialisé</w:t>
            </w:r>
            <w:r w:rsidR="005F1F61">
              <w:rPr>
                <w:rFonts w:ascii="Times New Roman" w:hAnsi="Times New Roman" w:cs="Times New Roman"/>
              </w:rPr>
              <w:t>e</w:t>
            </w:r>
            <w:r w:rsidRPr="00C03AF5">
              <w:rPr>
                <w:rFonts w:ascii="Times New Roman" w:hAnsi="Times New Roman" w:cs="Times New Roman"/>
              </w:rPr>
              <w:t xml:space="preserve">s par des titres (les obligations)  </w:t>
            </w:r>
          </w:p>
        </w:tc>
        <w:tc>
          <w:tcPr>
            <w:tcW w:w="2229" w:type="dxa"/>
          </w:tcPr>
          <w:p w14:paraId="4B3F59D9" w14:textId="77777777" w:rsidR="003C5174" w:rsidRPr="00C03AF5" w:rsidRDefault="003C5174" w:rsidP="00BE19D3">
            <w:pPr>
              <w:rPr>
                <w:rFonts w:ascii="Times New Roman" w:hAnsi="Times New Roman" w:cs="Times New Roman"/>
              </w:rPr>
            </w:pPr>
            <w:r w:rsidRPr="00C03AF5">
              <w:rPr>
                <w:rFonts w:ascii="Times New Roman" w:hAnsi="Times New Roman" w:cs="Times New Roman"/>
              </w:rPr>
              <w:t>Possibilité de réunir des capitaux</w:t>
            </w:r>
            <w:r>
              <w:rPr>
                <w:rFonts w:ascii="Times New Roman" w:hAnsi="Times New Roman" w:cs="Times New Roman"/>
              </w:rPr>
              <w:t xml:space="preserve"> importants sans introduire de</w:t>
            </w:r>
            <w:r w:rsidRPr="00C03AF5">
              <w:rPr>
                <w:rFonts w:ascii="Times New Roman" w:hAnsi="Times New Roman" w:cs="Times New Roman"/>
              </w:rPr>
              <w:t xml:space="preserve"> nouveaux associés </w:t>
            </w:r>
            <w:r>
              <w:rPr>
                <w:rFonts w:ascii="Times New Roman" w:hAnsi="Times New Roman" w:cs="Times New Roman"/>
              </w:rPr>
              <w:t>(donc sans risque de dilution de</w:t>
            </w:r>
            <w:r w:rsidRPr="00C03AF5">
              <w:rPr>
                <w:rFonts w:ascii="Times New Roman" w:hAnsi="Times New Roman" w:cs="Times New Roman"/>
              </w:rPr>
              <w:t xml:space="preserve"> capital et</w:t>
            </w:r>
            <w:r w:rsidR="00623B32">
              <w:rPr>
                <w:rFonts w:ascii="Times New Roman" w:hAnsi="Times New Roman" w:cs="Times New Roman"/>
              </w:rPr>
              <w:t xml:space="preserve"> perte</w:t>
            </w:r>
            <w:r w:rsidRPr="00C03AF5">
              <w:rPr>
                <w:rFonts w:ascii="Times New Roman" w:hAnsi="Times New Roman" w:cs="Times New Roman"/>
              </w:rPr>
              <w:t xml:space="preserve"> de contrôle de la société).</w:t>
            </w:r>
          </w:p>
        </w:tc>
        <w:tc>
          <w:tcPr>
            <w:tcW w:w="2398" w:type="dxa"/>
          </w:tcPr>
          <w:p w14:paraId="5866A7D5" w14:textId="77777777" w:rsidR="003C5174" w:rsidRPr="00C03AF5" w:rsidRDefault="003C5174" w:rsidP="00BE19D3">
            <w:pPr>
              <w:rPr>
                <w:rFonts w:ascii="Times New Roman" w:hAnsi="Times New Roman" w:cs="Times New Roman"/>
              </w:rPr>
            </w:pPr>
            <w:r>
              <w:rPr>
                <w:rFonts w:ascii="Times New Roman" w:hAnsi="Times New Roman" w:cs="Times New Roman"/>
              </w:rPr>
              <w:t>-</w:t>
            </w:r>
            <w:r w:rsidRPr="00C03AF5">
              <w:rPr>
                <w:rFonts w:ascii="Times New Roman" w:hAnsi="Times New Roman" w:cs="Times New Roman"/>
              </w:rPr>
              <w:t>Cette pratique de l’emprunt obligataire est réservée en pratique aux grandes entreprises.</w:t>
            </w:r>
          </w:p>
          <w:p w14:paraId="75417396" w14:textId="77777777" w:rsidR="003C5174" w:rsidRPr="00C03AF5" w:rsidRDefault="003C5174" w:rsidP="00BE19D3">
            <w:pPr>
              <w:rPr>
                <w:rFonts w:ascii="Times New Roman" w:hAnsi="Times New Roman" w:cs="Times New Roman"/>
              </w:rPr>
            </w:pPr>
            <w:r>
              <w:rPr>
                <w:rFonts w:ascii="Times New Roman" w:hAnsi="Times New Roman" w:cs="Times New Roman"/>
              </w:rPr>
              <w:t>-</w:t>
            </w:r>
            <w:r w:rsidRPr="00C03AF5">
              <w:rPr>
                <w:rFonts w:ascii="Times New Roman" w:hAnsi="Times New Roman" w:cs="Times New Roman"/>
              </w:rPr>
              <w:t>Le co</w:t>
            </w:r>
            <w:r>
              <w:rPr>
                <w:rFonts w:ascii="Times New Roman" w:hAnsi="Times New Roman" w:cs="Times New Roman"/>
              </w:rPr>
              <w:t>û</w:t>
            </w:r>
            <w:r w:rsidRPr="00C03AF5">
              <w:rPr>
                <w:rFonts w:ascii="Times New Roman" w:hAnsi="Times New Roman" w:cs="Times New Roman"/>
              </w:rPr>
              <w:t>t de cet emprunt</w:t>
            </w:r>
            <w:r>
              <w:rPr>
                <w:rFonts w:ascii="Times New Roman" w:hAnsi="Times New Roman" w:cs="Times New Roman"/>
              </w:rPr>
              <w:t xml:space="preserve"> est élevé (paiement des intérêts)</w:t>
            </w:r>
          </w:p>
        </w:tc>
      </w:tr>
      <w:tr w:rsidR="003C5174" w14:paraId="1285714F" w14:textId="77777777" w:rsidTr="00BE19D3">
        <w:tc>
          <w:tcPr>
            <w:tcW w:w="2158" w:type="dxa"/>
          </w:tcPr>
          <w:p w14:paraId="6A379DFF" w14:textId="77777777" w:rsidR="003C5174" w:rsidRDefault="003C5174" w:rsidP="00BE19D3">
            <w:pPr>
              <w:rPr>
                <w:rFonts w:ascii="Times New Roman" w:hAnsi="Times New Roman" w:cs="Times New Roman"/>
              </w:rPr>
            </w:pPr>
            <w:r>
              <w:rPr>
                <w:rFonts w:ascii="Times New Roman" w:hAnsi="Times New Roman" w:cs="Times New Roman"/>
              </w:rPr>
              <w:t xml:space="preserve">Le crédit-bail ou leasing </w:t>
            </w:r>
          </w:p>
          <w:p w14:paraId="72B525C3" w14:textId="77777777" w:rsidR="003C5174" w:rsidRPr="00BD3098" w:rsidRDefault="003C5174" w:rsidP="00BE19D3">
            <w:pPr>
              <w:rPr>
                <w:rFonts w:ascii="Times New Roman" w:hAnsi="Times New Roman" w:cs="Times New Roman"/>
              </w:rPr>
            </w:pPr>
          </w:p>
          <w:p w14:paraId="2A7699C9" w14:textId="77777777" w:rsidR="003C5174" w:rsidRDefault="003C5174" w:rsidP="00BE19D3">
            <w:pPr>
              <w:rPr>
                <w:rFonts w:ascii="Times New Roman" w:hAnsi="Times New Roman" w:cs="Times New Roman"/>
              </w:rPr>
            </w:pPr>
          </w:p>
          <w:p w14:paraId="22F675E2" w14:textId="77777777" w:rsidR="003C5174" w:rsidRDefault="003C5174" w:rsidP="00BE19D3">
            <w:pPr>
              <w:rPr>
                <w:rFonts w:ascii="Times New Roman" w:hAnsi="Times New Roman" w:cs="Times New Roman"/>
              </w:rPr>
            </w:pPr>
          </w:p>
          <w:p w14:paraId="64152BFA" w14:textId="77777777" w:rsidR="003C5174" w:rsidRPr="00BD3098" w:rsidRDefault="003C5174" w:rsidP="00BE19D3">
            <w:pPr>
              <w:ind w:firstLine="708"/>
              <w:rPr>
                <w:rFonts w:ascii="Times New Roman" w:hAnsi="Times New Roman" w:cs="Times New Roman"/>
              </w:rPr>
            </w:pPr>
          </w:p>
        </w:tc>
        <w:tc>
          <w:tcPr>
            <w:tcW w:w="2319" w:type="dxa"/>
          </w:tcPr>
          <w:p w14:paraId="1B44FD99" w14:textId="77777777" w:rsidR="003C5174" w:rsidRPr="00C03AF5" w:rsidRDefault="003C5174" w:rsidP="00BE19D3">
            <w:pPr>
              <w:rPr>
                <w:rFonts w:ascii="Times New Roman" w:hAnsi="Times New Roman" w:cs="Times New Roman"/>
              </w:rPr>
            </w:pPr>
            <w:r>
              <w:rPr>
                <w:rFonts w:ascii="Times New Roman" w:hAnsi="Times New Roman" w:cs="Times New Roman"/>
              </w:rPr>
              <w:t>Il s’agit d’un contrat de location à durée déterminée de crédit-bail et un client, assorti  d’une option d’achat à l’échéance pour le client.</w:t>
            </w:r>
          </w:p>
        </w:tc>
        <w:tc>
          <w:tcPr>
            <w:tcW w:w="2229" w:type="dxa"/>
          </w:tcPr>
          <w:p w14:paraId="40C1A003" w14:textId="77777777" w:rsidR="003C5174" w:rsidRDefault="003C5174" w:rsidP="00BE19D3">
            <w:pPr>
              <w:rPr>
                <w:rFonts w:ascii="Times New Roman" w:hAnsi="Times New Roman" w:cs="Times New Roman"/>
              </w:rPr>
            </w:pPr>
            <w:r>
              <w:rPr>
                <w:rFonts w:ascii="Times New Roman" w:hAnsi="Times New Roman" w:cs="Times New Roman"/>
              </w:rPr>
              <w:t>-sur le plan fiscal, les loyers représentent des charges déductibles</w:t>
            </w:r>
          </w:p>
          <w:p w14:paraId="5F246D3A" w14:textId="77777777" w:rsidR="003C5174" w:rsidRPr="00954CC8" w:rsidRDefault="003C5174" w:rsidP="00BE19D3">
            <w:pPr>
              <w:rPr>
                <w:rFonts w:ascii="Times New Roman" w:hAnsi="Times New Roman" w:cs="Times New Roman"/>
              </w:rPr>
            </w:pPr>
            <w:r>
              <w:rPr>
                <w:rFonts w:ascii="Times New Roman" w:hAnsi="Times New Roman" w:cs="Times New Roman"/>
              </w:rPr>
              <w:t xml:space="preserve">-Ce procédé ne nécessite aucun apport personnel, il est rapide et simple ; il est très utile pour financer des équipements dont </w:t>
            </w:r>
            <w:r>
              <w:rPr>
                <w:rFonts w:ascii="Times New Roman" w:hAnsi="Times New Roman" w:cs="Times New Roman"/>
              </w:rPr>
              <w:lastRenderedPageBreak/>
              <w:t xml:space="preserve">l’évolution technologie est rapide. </w:t>
            </w:r>
          </w:p>
        </w:tc>
        <w:tc>
          <w:tcPr>
            <w:tcW w:w="2398" w:type="dxa"/>
          </w:tcPr>
          <w:p w14:paraId="137F379E" w14:textId="77777777" w:rsidR="003C5174" w:rsidRPr="00C03AF5" w:rsidRDefault="003C5174" w:rsidP="00BE19D3">
            <w:pPr>
              <w:rPr>
                <w:rFonts w:ascii="Times New Roman" w:hAnsi="Times New Roman" w:cs="Times New Roman"/>
              </w:rPr>
            </w:pPr>
            <w:r>
              <w:rPr>
                <w:rFonts w:ascii="Times New Roman" w:hAnsi="Times New Roman" w:cs="Times New Roman"/>
              </w:rPr>
              <w:lastRenderedPageBreak/>
              <w:t xml:space="preserve">Ce moyen de financement externe des investissements est coûteux </w:t>
            </w:r>
          </w:p>
        </w:tc>
      </w:tr>
    </w:tbl>
    <w:p w14:paraId="24588D10" w14:textId="77777777" w:rsidR="003C5174" w:rsidRDefault="003C5174" w:rsidP="003C5174">
      <w:pPr>
        <w:ind w:left="360"/>
        <w:rPr>
          <w:rFonts w:ascii="Times New Roman" w:hAnsi="Times New Roman" w:cs="Times New Roman"/>
          <w:sz w:val="24"/>
          <w:szCs w:val="24"/>
        </w:rPr>
      </w:pPr>
    </w:p>
    <w:p w14:paraId="74285C7A" w14:textId="77777777" w:rsidR="003C5174" w:rsidRDefault="003C5174" w:rsidP="003C5174">
      <w:pPr>
        <w:pStyle w:val="Paragraphedeliste"/>
        <w:numPr>
          <w:ilvl w:val="0"/>
          <w:numId w:val="4"/>
        </w:numPr>
        <w:rPr>
          <w:rFonts w:ascii="Times New Roman" w:hAnsi="Times New Roman" w:cs="Times New Roman"/>
          <w:b/>
          <w:sz w:val="24"/>
          <w:szCs w:val="24"/>
        </w:rPr>
      </w:pPr>
      <w:r>
        <w:rPr>
          <w:rFonts w:ascii="Times New Roman" w:hAnsi="Times New Roman" w:cs="Times New Roman"/>
          <w:b/>
          <w:sz w:val="24"/>
          <w:szCs w:val="24"/>
        </w:rPr>
        <w:t>Le financement interne de l’entreprise</w:t>
      </w:r>
    </w:p>
    <w:p w14:paraId="4B70A0F7"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L’autofinancement consiste à utiliser sa propre épargne pour financer ses investissements : pour cela l’entreprise doit dégager une capacité d’autofinancement.  </w:t>
      </w:r>
    </w:p>
    <w:p w14:paraId="3ADC0C42" w14:textId="77777777" w:rsidR="003C5174" w:rsidRDefault="003C5174" w:rsidP="003C5174">
      <w:pPr>
        <w:rPr>
          <w:rFonts w:ascii="Times New Roman" w:hAnsi="Times New Roman" w:cs="Times New Roman"/>
          <w:sz w:val="24"/>
          <w:szCs w:val="24"/>
          <w:bdr w:val="single" w:sz="4" w:space="0" w:color="auto"/>
        </w:rPr>
      </w:pPr>
      <w:r>
        <w:rPr>
          <w:rFonts w:ascii="Times New Roman" w:hAnsi="Times New Roman" w:cs="Times New Roman"/>
          <w:sz w:val="24"/>
          <w:szCs w:val="24"/>
        </w:rPr>
        <w:t>.</w:t>
      </w:r>
      <w:r w:rsidR="008C78D6">
        <w:rPr>
          <w:rFonts w:ascii="Times New Roman" w:hAnsi="Times New Roman" w:cs="Times New Roman"/>
          <w:sz w:val="24"/>
          <w:szCs w:val="24"/>
          <w:bdr w:val="single" w:sz="4" w:space="0" w:color="auto"/>
        </w:rPr>
        <w:t>C</w:t>
      </w:r>
      <w:r w:rsidRPr="00E74922">
        <w:rPr>
          <w:rFonts w:ascii="Times New Roman" w:hAnsi="Times New Roman" w:cs="Times New Roman"/>
          <w:sz w:val="24"/>
          <w:szCs w:val="24"/>
          <w:bdr w:val="single" w:sz="4" w:space="0" w:color="auto"/>
        </w:rPr>
        <w:t>apacité d’</w:t>
      </w:r>
      <w:r w:rsidR="008C78D6">
        <w:rPr>
          <w:rFonts w:ascii="Times New Roman" w:hAnsi="Times New Roman" w:cs="Times New Roman"/>
          <w:sz w:val="24"/>
          <w:szCs w:val="24"/>
          <w:bdr w:val="single" w:sz="4" w:space="0" w:color="auto"/>
        </w:rPr>
        <w:t>A</w:t>
      </w:r>
      <w:r w:rsidRPr="00E74922">
        <w:rPr>
          <w:rFonts w:ascii="Times New Roman" w:hAnsi="Times New Roman" w:cs="Times New Roman"/>
          <w:sz w:val="24"/>
          <w:szCs w:val="24"/>
          <w:bdr w:val="single" w:sz="4" w:space="0" w:color="auto"/>
        </w:rPr>
        <w:t>utofinancement(CAF)</w:t>
      </w:r>
      <w:r w:rsidR="00B94536">
        <w:rPr>
          <w:rFonts w:ascii="Times New Roman" w:hAnsi="Times New Roman" w:cs="Times New Roman"/>
          <w:sz w:val="24"/>
          <w:szCs w:val="24"/>
          <w:bdr w:val="single" w:sz="4" w:space="0" w:color="auto"/>
        </w:rPr>
        <w:t xml:space="preserve"> </w:t>
      </w:r>
      <w:r>
        <w:rPr>
          <w:rFonts w:ascii="Times New Roman" w:hAnsi="Times New Roman" w:cs="Times New Roman"/>
          <w:sz w:val="24"/>
          <w:szCs w:val="24"/>
          <w:bdr w:val="single" w:sz="4" w:space="0" w:color="auto"/>
        </w:rPr>
        <w:t xml:space="preserve"> </w:t>
      </w:r>
      <w:r>
        <w:rPr>
          <w:rFonts w:ascii="Times New Roman" w:hAnsi="Times New Roman" w:cs="Times New Roman"/>
          <w:sz w:val="24"/>
          <w:szCs w:val="24"/>
        </w:rPr>
        <w:t xml:space="preserve">= </w:t>
      </w:r>
      <w:r>
        <w:rPr>
          <w:rFonts w:ascii="Times New Roman" w:hAnsi="Times New Roman" w:cs="Times New Roman"/>
          <w:sz w:val="24"/>
          <w:szCs w:val="24"/>
          <w:bdr w:val="single" w:sz="4" w:space="0" w:color="auto"/>
        </w:rPr>
        <w:t>R</w:t>
      </w:r>
      <w:r w:rsidRPr="00E74922">
        <w:rPr>
          <w:rFonts w:ascii="Times New Roman" w:hAnsi="Times New Roman" w:cs="Times New Roman"/>
          <w:sz w:val="24"/>
          <w:szCs w:val="24"/>
          <w:bdr w:val="single" w:sz="4" w:space="0" w:color="auto"/>
        </w:rPr>
        <w:t xml:space="preserve">ésultat </w:t>
      </w:r>
      <w:r w:rsidR="008C78D6">
        <w:rPr>
          <w:rFonts w:ascii="Times New Roman" w:hAnsi="Times New Roman" w:cs="Times New Roman"/>
          <w:sz w:val="24"/>
          <w:szCs w:val="24"/>
          <w:bdr w:val="single" w:sz="4" w:space="0" w:color="auto"/>
        </w:rPr>
        <w:t>N</w:t>
      </w:r>
      <w:r w:rsidRPr="00E74922">
        <w:rPr>
          <w:rFonts w:ascii="Times New Roman" w:hAnsi="Times New Roman" w:cs="Times New Roman"/>
          <w:sz w:val="24"/>
          <w:szCs w:val="24"/>
          <w:bdr w:val="single" w:sz="4" w:space="0" w:color="auto"/>
        </w:rPr>
        <w:t>et</w:t>
      </w:r>
      <w:r>
        <w:rPr>
          <w:rFonts w:ascii="Times New Roman" w:hAnsi="Times New Roman" w:cs="Times New Roman"/>
          <w:sz w:val="24"/>
          <w:szCs w:val="24"/>
        </w:rPr>
        <w:t xml:space="preserve"> + </w:t>
      </w:r>
      <w:r>
        <w:rPr>
          <w:rFonts w:ascii="Times New Roman" w:hAnsi="Times New Roman" w:cs="Times New Roman"/>
          <w:sz w:val="24"/>
          <w:szCs w:val="24"/>
          <w:bdr w:val="single" w:sz="4" w:space="0" w:color="auto"/>
        </w:rPr>
        <w:t>A</w:t>
      </w:r>
      <w:r w:rsidRPr="00E74922">
        <w:rPr>
          <w:rFonts w:ascii="Times New Roman" w:hAnsi="Times New Roman" w:cs="Times New Roman"/>
          <w:sz w:val="24"/>
          <w:szCs w:val="24"/>
          <w:bdr w:val="single" w:sz="4" w:space="0" w:color="auto"/>
        </w:rPr>
        <w:t>mortissement</w:t>
      </w:r>
      <w:r>
        <w:rPr>
          <w:rFonts w:ascii="Times New Roman" w:hAnsi="Times New Roman" w:cs="Times New Roman"/>
          <w:sz w:val="24"/>
          <w:szCs w:val="24"/>
          <w:bdr w:val="single" w:sz="4" w:space="0" w:color="auto"/>
        </w:rPr>
        <w:t>s</w:t>
      </w:r>
      <w:r>
        <w:rPr>
          <w:rFonts w:ascii="Times New Roman" w:hAnsi="Times New Roman" w:cs="Times New Roman"/>
          <w:sz w:val="24"/>
          <w:szCs w:val="24"/>
        </w:rPr>
        <w:t xml:space="preserve"> + </w:t>
      </w:r>
      <w:r>
        <w:rPr>
          <w:rFonts w:ascii="Times New Roman" w:hAnsi="Times New Roman" w:cs="Times New Roman"/>
          <w:sz w:val="24"/>
          <w:szCs w:val="24"/>
          <w:bdr w:val="single" w:sz="4" w:space="0" w:color="auto"/>
        </w:rPr>
        <w:t>P</w:t>
      </w:r>
      <w:r w:rsidRPr="00E74922">
        <w:rPr>
          <w:rFonts w:ascii="Times New Roman" w:hAnsi="Times New Roman" w:cs="Times New Roman"/>
          <w:sz w:val="24"/>
          <w:szCs w:val="24"/>
          <w:bdr w:val="single" w:sz="4" w:space="0" w:color="auto"/>
        </w:rPr>
        <w:t>rovision</w:t>
      </w:r>
      <w:r>
        <w:rPr>
          <w:rFonts w:ascii="Times New Roman" w:hAnsi="Times New Roman" w:cs="Times New Roman"/>
          <w:sz w:val="24"/>
          <w:szCs w:val="24"/>
          <w:bdr w:val="single" w:sz="4" w:space="0" w:color="auto"/>
        </w:rPr>
        <w:t>s</w:t>
      </w:r>
    </w:p>
    <w:p w14:paraId="26CF025D" w14:textId="77777777" w:rsidR="003C5174" w:rsidRDefault="003C5174" w:rsidP="003C5174">
      <w:pPr>
        <w:rPr>
          <w:rFonts w:ascii="Times New Roman" w:hAnsi="Times New Roman" w:cs="Times New Roman"/>
          <w:sz w:val="24"/>
          <w:szCs w:val="24"/>
          <w:bdr w:val="single" w:sz="4" w:space="0" w:color="auto"/>
        </w:rPr>
      </w:pPr>
      <w:r w:rsidRPr="000568EF">
        <w:rPr>
          <w:rFonts w:ascii="Times New Roman" w:hAnsi="Times New Roman" w:cs="Times New Roman"/>
          <w:sz w:val="24"/>
          <w:szCs w:val="24"/>
          <w:highlight w:val="yellow"/>
          <w:bdr w:val="single" w:sz="4" w:space="0" w:color="auto"/>
        </w:rPr>
        <w:t>Autofinancement  =</w:t>
      </w:r>
      <w:r>
        <w:rPr>
          <w:rFonts w:ascii="Times New Roman" w:hAnsi="Times New Roman" w:cs="Times New Roman"/>
          <w:sz w:val="24"/>
          <w:szCs w:val="24"/>
          <w:highlight w:val="yellow"/>
          <w:bdr w:val="single" w:sz="4" w:space="0" w:color="auto"/>
        </w:rPr>
        <w:t xml:space="preserve"> </w:t>
      </w:r>
      <w:r w:rsidRPr="000568EF">
        <w:rPr>
          <w:rFonts w:ascii="Times New Roman" w:hAnsi="Times New Roman" w:cs="Times New Roman"/>
          <w:sz w:val="24"/>
          <w:szCs w:val="24"/>
          <w:highlight w:val="yellow"/>
          <w:bdr w:val="single" w:sz="4" w:space="0" w:color="auto"/>
        </w:rPr>
        <w:t>CAF –</w:t>
      </w:r>
      <w:r w:rsidR="00B829BC">
        <w:rPr>
          <w:rFonts w:ascii="Times New Roman" w:hAnsi="Times New Roman" w:cs="Times New Roman"/>
          <w:sz w:val="24"/>
          <w:szCs w:val="24"/>
          <w:highlight w:val="yellow"/>
          <w:bdr w:val="single" w:sz="4" w:space="0" w:color="auto"/>
        </w:rPr>
        <w:t xml:space="preserve"> </w:t>
      </w:r>
      <w:r w:rsidRPr="000568EF">
        <w:rPr>
          <w:rFonts w:ascii="Times New Roman" w:hAnsi="Times New Roman" w:cs="Times New Roman"/>
          <w:sz w:val="24"/>
          <w:szCs w:val="24"/>
          <w:highlight w:val="yellow"/>
          <w:bdr w:val="single" w:sz="4" w:space="0" w:color="auto"/>
        </w:rPr>
        <w:t>BENEFICE</w:t>
      </w:r>
      <w:r w:rsidR="00AC1F79">
        <w:rPr>
          <w:rFonts w:ascii="Times New Roman" w:hAnsi="Times New Roman" w:cs="Times New Roman"/>
          <w:sz w:val="24"/>
          <w:szCs w:val="24"/>
          <w:highlight w:val="yellow"/>
          <w:bdr w:val="single" w:sz="4" w:space="0" w:color="auto"/>
        </w:rPr>
        <w:t>S</w:t>
      </w:r>
      <w:r w:rsidRPr="000568EF">
        <w:rPr>
          <w:rFonts w:ascii="Times New Roman" w:hAnsi="Times New Roman" w:cs="Times New Roman"/>
          <w:sz w:val="24"/>
          <w:szCs w:val="24"/>
          <w:highlight w:val="yellow"/>
          <w:bdr w:val="single" w:sz="4" w:space="0" w:color="auto"/>
        </w:rPr>
        <w:t xml:space="preserve"> DISTRIBUES</w:t>
      </w:r>
      <w:r w:rsidR="00071C28">
        <w:rPr>
          <w:rFonts w:ascii="Times New Roman" w:hAnsi="Times New Roman" w:cs="Times New Roman"/>
          <w:sz w:val="24"/>
          <w:szCs w:val="24"/>
          <w:bdr w:val="single" w:sz="4" w:space="0" w:color="auto"/>
        </w:rPr>
        <w:t xml:space="preserve"> </w:t>
      </w:r>
    </w:p>
    <w:p w14:paraId="6E9A8113"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 xml:space="preserve">L’intérêt du financement interne est qu’il permet de maintenir l’indépendance, la liberté d’action et la capacité d’emprunt de l’entreprise. En revanche, ce financement  est contraignant : l’entreprise doit dégager des bénéfices pour constituer son épargne et elle doit faire des choix (ex : diminuer la </w:t>
      </w:r>
      <w:r w:rsidRPr="002E097A">
        <w:rPr>
          <w:rFonts w:ascii="Times New Roman" w:hAnsi="Times New Roman" w:cs="Times New Roman"/>
          <w:sz w:val="24"/>
          <w:szCs w:val="24"/>
        </w:rPr>
        <w:t>part</w:t>
      </w:r>
      <w:r>
        <w:rPr>
          <w:rFonts w:ascii="Times New Roman" w:hAnsi="Times New Roman" w:cs="Times New Roman"/>
          <w:sz w:val="24"/>
          <w:szCs w:val="24"/>
        </w:rPr>
        <w:t xml:space="preserve"> des bénéfices distribués aux associés pour favoriser l’investissement).</w:t>
      </w:r>
    </w:p>
    <w:p w14:paraId="3856A732"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D’autre part, l’autofinancement est souvent insuffisant pour financer les investissements dans leur totalité, il faut souvent l’accompagner d’une source externe de financement (emprunt bancaire par exemple).</w:t>
      </w:r>
    </w:p>
    <w:p w14:paraId="6F58F537" w14:textId="77777777" w:rsidR="003C5174" w:rsidRDefault="003C5174" w:rsidP="003C5174">
      <w:pPr>
        <w:rPr>
          <w:rFonts w:ascii="Times New Roman" w:hAnsi="Times New Roman" w:cs="Times New Roman"/>
          <w:sz w:val="24"/>
          <w:szCs w:val="24"/>
        </w:rPr>
      </w:pPr>
      <w:r>
        <w:rPr>
          <w:rFonts w:ascii="Times New Roman" w:hAnsi="Times New Roman" w:cs="Times New Roman"/>
          <w:b/>
          <w:sz w:val="24"/>
          <w:szCs w:val="24"/>
        </w:rPr>
        <w:t>IV) le financement de l’exploitation</w:t>
      </w:r>
    </w:p>
    <w:p w14:paraId="42C426D5"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ab/>
        <w:t>Les entreprises ont pour rôle de produire des biens et services destinés à la vente. Elles ont besoin de capitaux pour réaliser cette activité de production.</w:t>
      </w:r>
    </w:p>
    <w:p w14:paraId="7A1289EC" w14:textId="77777777" w:rsidR="003C5174" w:rsidRDefault="003C5174" w:rsidP="003C5174">
      <w:pPr>
        <w:pStyle w:val="Paragraphedeliste"/>
        <w:numPr>
          <w:ilvl w:val="0"/>
          <w:numId w:val="5"/>
        </w:numPr>
        <w:rPr>
          <w:rFonts w:ascii="Times New Roman" w:hAnsi="Times New Roman" w:cs="Times New Roman"/>
          <w:b/>
          <w:sz w:val="24"/>
          <w:szCs w:val="24"/>
        </w:rPr>
      </w:pPr>
      <w:r>
        <w:rPr>
          <w:rFonts w:ascii="Times New Roman" w:hAnsi="Times New Roman" w:cs="Times New Roman"/>
          <w:b/>
          <w:sz w:val="24"/>
          <w:szCs w:val="24"/>
        </w:rPr>
        <w:t>Qu’est-ce-que le cycle d’exploitation ?</w:t>
      </w:r>
    </w:p>
    <w:p w14:paraId="34422D0E"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 xml:space="preserve">Le cycle d’exploitation retrace l’activité courante de l’entreprise. Les entreprises doivent en général avancer des fonds pour mener à bien leur exploitation (ex : achat des équipements, paiement des salariés, achat des consommations intermédiaires, stock des produits finis et délais de paiement accordés aux clients). Tout au long du circuit l’entreprise dépense de l’argent mais n’en récupère pas encore : il faut donc qu’elle puisse financer ses avances de fonds quelle effectue. </w:t>
      </w:r>
    </w:p>
    <w:p w14:paraId="69C7318C"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La consommation intermédiaire intéresse les biens utilisés pour produire d’autres biens soit par transformation, soit par incorporation.</w:t>
      </w:r>
    </w:p>
    <w:p w14:paraId="19C4C24B"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F84244">
        <w:rPr>
          <w:rFonts w:ascii="Times New Roman" w:hAnsi="Times New Roman" w:cs="Times New Roman"/>
          <w:b/>
          <w:sz w:val="24"/>
          <w:szCs w:val="24"/>
        </w:rPr>
        <w:t>Remarque</w:t>
      </w:r>
      <w:r>
        <w:rPr>
          <w:rFonts w:ascii="Times New Roman" w:hAnsi="Times New Roman" w:cs="Times New Roman"/>
          <w:sz w:val="24"/>
          <w:szCs w:val="24"/>
        </w:rPr>
        <w:t> : Toutes les entreprises n’ont pas le même cycle d’exploitation ; les entreprises de distribution achètent pour revendre mais n’ont aucune activité de production tandis que pour les entreprises industrielles ; il s’agit d’acheter des matières premières, de les transformer en produits finis selon différents processus.</w:t>
      </w:r>
    </w:p>
    <w:p w14:paraId="2C5E8972" w14:textId="77777777" w:rsidR="003C5174" w:rsidRDefault="003C5174" w:rsidP="003C5174">
      <w:pPr>
        <w:jc w:val="both"/>
        <w:rPr>
          <w:rFonts w:ascii="Times New Roman" w:hAnsi="Times New Roman" w:cs="Times New Roman"/>
          <w:sz w:val="24"/>
          <w:szCs w:val="24"/>
        </w:rPr>
      </w:pPr>
    </w:p>
    <w:p w14:paraId="41CB97DB" w14:textId="77777777" w:rsidR="003C5174" w:rsidRDefault="003C5174" w:rsidP="003C5174">
      <w:pPr>
        <w:jc w:val="both"/>
        <w:rPr>
          <w:rFonts w:ascii="Times New Roman" w:hAnsi="Times New Roman" w:cs="Times New Roman"/>
          <w:sz w:val="24"/>
          <w:szCs w:val="24"/>
        </w:rPr>
      </w:pPr>
    </w:p>
    <w:p w14:paraId="3A8D844D" w14:textId="77777777" w:rsidR="003C5174" w:rsidRDefault="003C5174" w:rsidP="003C5174">
      <w:pPr>
        <w:jc w:val="both"/>
        <w:rPr>
          <w:rFonts w:ascii="Times New Roman" w:hAnsi="Times New Roman" w:cs="Times New Roman"/>
          <w:sz w:val="24"/>
          <w:szCs w:val="24"/>
        </w:rPr>
      </w:pPr>
    </w:p>
    <w:p w14:paraId="62194C59" w14:textId="77777777" w:rsidR="006E23DA" w:rsidRDefault="006E23DA" w:rsidP="003C5174">
      <w:pPr>
        <w:jc w:val="both"/>
        <w:rPr>
          <w:rFonts w:ascii="Times New Roman" w:hAnsi="Times New Roman" w:cs="Times New Roman"/>
          <w:sz w:val="24"/>
          <w:szCs w:val="24"/>
        </w:rPr>
      </w:pPr>
    </w:p>
    <w:p w14:paraId="7F92CC05" w14:textId="77777777" w:rsidR="003C5174" w:rsidRDefault="003C5174" w:rsidP="003C5174">
      <w:pPr>
        <w:jc w:val="both"/>
        <w:rPr>
          <w:rFonts w:ascii="Times New Roman" w:hAnsi="Times New Roman" w:cs="Times New Roman"/>
          <w:sz w:val="24"/>
          <w:szCs w:val="24"/>
        </w:rPr>
      </w:pPr>
    </w:p>
    <w:p w14:paraId="3DA9C5EA" w14:textId="77777777" w:rsidR="003C5174" w:rsidRDefault="003C5174" w:rsidP="003C5174">
      <w:pPr>
        <w:jc w:val="both"/>
        <w:rPr>
          <w:rFonts w:ascii="Times New Roman" w:hAnsi="Times New Roman" w:cs="Times New Roman"/>
          <w:sz w:val="24"/>
          <w:szCs w:val="24"/>
        </w:rPr>
      </w:pPr>
    </w:p>
    <w:p w14:paraId="351A83A4" w14:textId="77777777" w:rsidR="003C5174" w:rsidRDefault="003C5174" w:rsidP="003C5174">
      <w:pPr>
        <w:rPr>
          <w:rFonts w:ascii="Times New Roman" w:hAnsi="Times New Roman" w:cs="Times New Roman"/>
          <w:sz w:val="24"/>
          <w:szCs w:val="24"/>
          <w:u w:val="single"/>
        </w:rPr>
      </w:pPr>
      <w:r w:rsidRPr="009A3D11">
        <w:rPr>
          <w:rFonts w:ascii="Times New Roman" w:hAnsi="Times New Roman" w:cs="Times New Roman"/>
          <w:sz w:val="24"/>
          <w:szCs w:val="24"/>
          <w:u w:val="double"/>
        </w:rPr>
        <w:t xml:space="preserve">Exemple  de cycle d’exploitation d’une entreprise industrielle.      </w:t>
      </w:r>
    </w:p>
    <w:p w14:paraId="5538F80E" w14:textId="77777777" w:rsidR="003C5174" w:rsidRDefault="003C5174" w:rsidP="003C5174">
      <w:pPr>
        <w:rPr>
          <w:rFonts w:ascii="Times New Roman" w:hAnsi="Times New Roman" w:cs="Times New Roman"/>
          <w:sz w:val="24"/>
          <w:szCs w:val="24"/>
          <w:u w:val="single"/>
        </w:rPr>
      </w:pPr>
      <w:r>
        <w:rPr>
          <w:rFonts w:ascii="Times New Roman" w:hAnsi="Times New Roman" w:cs="Times New Roman"/>
          <w:noProof/>
          <w:sz w:val="24"/>
          <w:szCs w:val="24"/>
          <w:u w:val="single"/>
          <w:lang w:eastAsia="fr-FR"/>
        </w:rPr>
        <mc:AlternateContent>
          <mc:Choice Requires="wpc">
            <w:drawing>
              <wp:inline distT="0" distB="0" distL="0" distR="0" wp14:anchorId="53E30A0F" wp14:editId="4805CF98">
                <wp:extent cx="5486400" cy="2908935"/>
                <wp:effectExtent l="0" t="0" r="0" b="5715"/>
                <wp:docPr id="25" name="Zone de dessin 42"/>
                <wp:cNvGraphicFramePr>
                  <a:graphicFrameLocks xmlns:a="http://schemas.openxmlformats.org/drawingml/2006/main"/>
                </wp:cNvGraphicFramePr>
                <a:graphic xmlns:a="http://schemas.openxmlformats.org/drawingml/2006/main">
                  <a:graphicData uri="http://schemas.microsoft.com/office/word/2010/wordprocessingCanvas">
                    <wpc:wpc>
                      <wpc:bg>
                        <a:pattFill prst="pct50">
                          <a:fgClr>
                            <a:schemeClr val="accent1"/>
                          </a:fgClr>
                          <a:bgClr>
                            <a:schemeClr val="bg1"/>
                          </a:bgClr>
                        </a:pattFill>
                      </wpc:bg>
                      <wpc:whole/>
                      <wps:wsp>
                        <wps:cNvPr id="43" name="Zone de texte 43"/>
                        <wps:cNvSpPr txBox="1"/>
                        <wps:spPr>
                          <a:xfrm>
                            <a:off x="1785600" y="158400"/>
                            <a:ext cx="1706400" cy="518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5A5459" w14:textId="77777777" w:rsidR="003C5174" w:rsidRDefault="003C5174" w:rsidP="003C5174">
                              <w:pPr>
                                <w:jc w:val="center"/>
                              </w:pPr>
                              <w:r>
                                <w:t>Stock des consommations intermédiaires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Zone de texte 44"/>
                        <wps:cNvSpPr txBox="1"/>
                        <wps:spPr>
                          <a:xfrm>
                            <a:off x="172800" y="1231200"/>
                            <a:ext cx="1742400" cy="640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E0F91C" w14:textId="77777777" w:rsidR="003C5174" w:rsidRDefault="003C5174" w:rsidP="003C5174">
                              <w:pPr>
                                <w:jc w:val="center"/>
                              </w:pPr>
                              <w:r>
                                <w:t>Achat des consommations intermédiaires (énergies, mat 1</w:t>
                              </w:r>
                              <w:r w:rsidRPr="00405F35">
                                <w:rPr>
                                  <w:vertAlign w:val="superscript"/>
                                </w:rPr>
                                <w:t>er</w:t>
                              </w:r>
                              <w:r>
                                <w:rPr>
                                  <w:vertAlign w:val="superscript"/>
                                </w:rPr>
                                <w:t>,</w:t>
                              </w:r>
                              <w:r>
                                <w:t xml:space="preserve"> etc.)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Zone de texte 45"/>
                        <wps:cNvSpPr txBox="1"/>
                        <wps:spPr>
                          <a:xfrm>
                            <a:off x="4003200" y="1159200"/>
                            <a:ext cx="914400" cy="396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F7DC54" w14:textId="77777777" w:rsidR="003C5174" w:rsidRDefault="003C5174" w:rsidP="003C5174">
                              <w:pPr>
                                <w:jc w:val="center"/>
                              </w:pPr>
                              <w:r>
                                <w:t>Fabrications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Zone de texte 46"/>
                        <wps:cNvSpPr txBox="1"/>
                        <wps:spPr>
                          <a:xfrm>
                            <a:off x="2476800" y="1332000"/>
                            <a:ext cx="777600" cy="338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BD413F" w14:textId="77777777" w:rsidR="003C5174" w:rsidRDefault="003C5174" w:rsidP="003C5174">
                              <w:r>
                                <w:t xml:space="preserve">Emballage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Zone de texte 47"/>
                        <wps:cNvSpPr txBox="1"/>
                        <wps:spPr>
                          <a:xfrm>
                            <a:off x="1108800" y="2404525"/>
                            <a:ext cx="748800" cy="3674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58DCB0" w14:textId="77777777" w:rsidR="003C5174" w:rsidRDefault="003C5174" w:rsidP="003C5174">
                              <w:r>
                                <w:t>Ventes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Zone de texte 48"/>
                        <wps:cNvSpPr txBox="1"/>
                        <wps:spPr>
                          <a:xfrm>
                            <a:off x="4118400" y="2181600"/>
                            <a:ext cx="979200" cy="475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E59FE2" w14:textId="77777777" w:rsidR="003C5174" w:rsidRDefault="003C5174" w:rsidP="003C5174">
                              <w:pPr>
                                <w:jc w:val="center"/>
                              </w:pPr>
                              <w:r>
                                <w:t>Stockage de produits finis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Connecteur droit avec flèche 50"/>
                        <wps:cNvCnPr/>
                        <wps:spPr>
                          <a:xfrm>
                            <a:off x="4341600" y="417576"/>
                            <a:ext cx="0" cy="74142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1" name="Connecteur droit 51"/>
                        <wps:cNvCnPr>
                          <a:stCxn id="43" idx="3"/>
                        </wps:cNvCnPr>
                        <wps:spPr>
                          <a:xfrm>
                            <a:off x="3492000" y="417600"/>
                            <a:ext cx="849600" cy="0"/>
                          </a:xfrm>
                          <a:prstGeom prst="line">
                            <a:avLst/>
                          </a:prstGeom>
                        </wps:spPr>
                        <wps:style>
                          <a:lnRef idx="1">
                            <a:schemeClr val="dk1"/>
                          </a:lnRef>
                          <a:fillRef idx="0">
                            <a:schemeClr val="dk1"/>
                          </a:fillRef>
                          <a:effectRef idx="0">
                            <a:schemeClr val="dk1"/>
                          </a:effectRef>
                          <a:fontRef idx="minor">
                            <a:schemeClr val="tx1"/>
                          </a:fontRef>
                        </wps:style>
                        <wps:bodyPr/>
                      </wps:wsp>
                      <wps:wsp>
                        <wps:cNvPr id="52" name="Connecteur droit avec flèche 52"/>
                        <wps:cNvCnPr/>
                        <wps:spPr>
                          <a:xfrm>
                            <a:off x="4478400" y="1555021"/>
                            <a:ext cx="0" cy="62645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3" name="Connecteur droit avec flèche 53"/>
                        <wps:cNvCnPr/>
                        <wps:spPr>
                          <a:xfrm flipH="1" flipV="1">
                            <a:off x="3275665" y="1518866"/>
                            <a:ext cx="864000" cy="921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4" name="Connecteur droit avec flèche 54"/>
                        <wps:cNvCnPr/>
                        <wps:spPr>
                          <a:xfrm flipH="1">
                            <a:off x="1857600" y="1670304"/>
                            <a:ext cx="619200" cy="92889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6" name="Connecteur droit avec flèche 56"/>
                        <wps:cNvCnPr>
                          <a:endCxn id="43" idx="1"/>
                        </wps:cNvCnPr>
                        <wps:spPr>
                          <a:xfrm>
                            <a:off x="1029600" y="417552"/>
                            <a:ext cx="756000" cy="4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7" name="Connecteur droit avec flèche 57"/>
                        <wps:cNvCnPr/>
                        <wps:spPr>
                          <a:xfrm flipH="1" flipV="1">
                            <a:off x="1044000" y="1886813"/>
                            <a:ext cx="64800" cy="53238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8" name="Connecteur droit 58"/>
                        <wps:cNvCnPr/>
                        <wps:spPr>
                          <a:xfrm flipV="1">
                            <a:off x="1058400" y="417528"/>
                            <a:ext cx="0" cy="81346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3E30A0F" id="Zone de dessin 42" o:spid="_x0000_s1026" editas="canvas" style="width:6in;height:229.05pt;mso-position-horizontal-relative:char;mso-position-vertical-relative:line" coordsize="54864,29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9089;visibility:visible;mso-wrap-style:square" filled="t" fillcolor="#5b9bd5 [3204]">
                  <v:fill r:id="rId5" o:title="" color2="white [3212]" o:detectmouseclick="t" type="pattern"/>
                  <v:path o:connecttype="none"/>
                </v:shape>
                <v:shapetype id="_x0000_t202" coordsize="21600,21600" o:spt="202" path="m,l,21600r21600,l21600,xe">
                  <v:stroke joinstyle="miter"/>
                  <v:path gradientshapeok="t" o:connecttype="rect"/>
                </v:shapetype>
                <v:shape id="Zone de texte 43" o:spid="_x0000_s1028" type="#_x0000_t202" style="position:absolute;left:17856;top:1584;width:17064;height:5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085A5459" w14:textId="77777777" w:rsidR="003C5174" w:rsidRDefault="003C5174" w:rsidP="003C5174">
                        <w:pPr>
                          <w:jc w:val="center"/>
                        </w:pPr>
                        <w:r>
                          <w:t>Stock des consommations intermédiaires</w:t>
                        </w:r>
                      </w:p>
                    </w:txbxContent>
                  </v:textbox>
                </v:shape>
                <v:shape id="Zone de texte 44" o:spid="_x0000_s1029" type="#_x0000_t202" style="position:absolute;left:1728;top:12312;width:1742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3DE0F91C" w14:textId="77777777" w:rsidR="003C5174" w:rsidRDefault="003C5174" w:rsidP="003C5174">
                        <w:pPr>
                          <w:jc w:val="center"/>
                        </w:pPr>
                        <w:r>
                          <w:t>Achat des consommations intermédiaires (énergies, mat 1</w:t>
                        </w:r>
                        <w:r w:rsidRPr="00405F35">
                          <w:rPr>
                            <w:vertAlign w:val="superscript"/>
                          </w:rPr>
                          <w:t>er</w:t>
                        </w:r>
                        <w:r>
                          <w:rPr>
                            <w:vertAlign w:val="superscript"/>
                          </w:rPr>
                          <w:t>,</w:t>
                        </w:r>
                        <w:r>
                          <w:t xml:space="preserve"> etc.) </w:t>
                        </w:r>
                      </w:p>
                    </w:txbxContent>
                  </v:textbox>
                </v:shape>
                <v:shape id="Zone de texte 45" o:spid="_x0000_s1030" type="#_x0000_t202" style="position:absolute;left:40032;top:11592;width:9144;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6CF7DC54" w14:textId="77777777" w:rsidR="003C5174" w:rsidRDefault="003C5174" w:rsidP="003C5174">
                        <w:pPr>
                          <w:jc w:val="center"/>
                        </w:pPr>
                        <w:r>
                          <w:t>Fabrications</w:t>
                        </w:r>
                      </w:p>
                    </w:txbxContent>
                  </v:textbox>
                </v:shape>
                <v:shape id="Zone de texte 46" o:spid="_x0000_s1031" type="#_x0000_t202" style="position:absolute;left:24768;top:13320;width:7776;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6CBD413F" w14:textId="77777777" w:rsidR="003C5174" w:rsidRDefault="003C5174" w:rsidP="003C5174">
                        <w:r>
                          <w:t xml:space="preserve">Emballage </w:t>
                        </w:r>
                      </w:p>
                    </w:txbxContent>
                  </v:textbox>
                </v:shape>
                <v:shape id="Zone de texte 47" o:spid="_x0000_s1032" type="#_x0000_t202" style="position:absolute;left:11088;top:24045;width:7488;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wLwgAAANsAAAAPAAAAZHJzL2Rvd25yZXYueG1sRI9BSwMx&#10;FITvgv8hPMGbzSql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D7DdwLwgAAANsAAAAPAAAA&#10;AAAAAAAAAAAAAAcCAABkcnMvZG93bnJldi54bWxQSwUGAAAAAAMAAwC3AAAA9gIAAAAA&#10;" fillcolor="white [3201]" strokeweight=".5pt">
                  <v:textbox>
                    <w:txbxContent>
                      <w:p w14:paraId="5F58DCB0" w14:textId="77777777" w:rsidR="003C5174" w:rsidRDefault="003C5174" w:rsidP="003C5174">
                        <w:r>
                          <w:t>Ventes</w:t>
                        </w:r>
                      </w:p>
                    </w:txbxContent>
                  </v:textbox>
                </v:shape>
                <v:shape id="Zone de texte 48" o:spid="_x0000_s1033" type="#_x0000_t202" style="position:absolute;left:41184;top:21816;width:9792;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67E59FE2" w14:textId="77777777" w:rsidR="003C5174" w:rsidRDefault="003C5174" w:rsidP="003C5174">
                        <w:pPr>
                          <w:jc w:val="center"/>
                        </w:pPr>
                        <w:r>
                          <w:t>Stockage de produits finis</w:t>
                        </w:r>
                      </w:p>
                    </w:txbxContent>
                  </v:textbox>
                </v:shape>
                <v:shapetype id="_x0000_t32" coordsize="21600,21600" o:spt="32" o:oned="t" path="m,l21600,21600e" filled="f">
                  <v:path arrowok="t" fillok="f" o:connecttype="none"/>
                  <o:lock v:ext="edit" shapetype="t"/>
                </v:shapetype>
                <v:shape id="Connecteur droit avec flèche 50" o:spid="_x0000_s1034" type="#_x0000_t32" style="position:absolute;left:43416;top:4175;width:0;height:74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" strokecolor="black [3200]" strokeweight=".5pt">
                  <v:stroke endarrow="open" joinstyle="miter"/>
                </v:shape>
                <v:line id="Connecteur droit 51" o:spid="_x0000_s1035" style="position:absolute;visibility:visible;mso-wrap-style:square" from="34920,4176" to="43416,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2PoxQAAANsAAAAPAAAAZHJzL2Rvd25yZXYueG1sRI9Ba8JA&#10;FITvgv9heUIvUje2KG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Do52PoxQAAANsAAAAP&#10;AAAAAAAAAAAAAAAAAAcCAABkcnMvZG93bnJldi54bWxQSwUGAAAAAAMAAwC3AAAA+QIAAAAA&#10;" strokecolor="black [3200]" strokeweight=".5pt">
                  <v:stroke joinstyle="miter"/>
                </v:line>
                <v:shape id="Connecteur droit avec flèche 52" o:spid="_x0000_s1036" type="#_x0000_t32" style="position:absolute;left:44784;top:15550;width:0;height:62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" strokecolor="black [3200]" strokeweight=".5pt">
                  <v:stroke endarrow="open" joinstyle="miter"/>
                </v:shape>
                <v:shape id="Connecteur droit avec flèche 53" o:spid="_x0000_s1037" type="#_x0000_t32" style="position:absolute;left:32756;top:15188;width:8640;height:92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" strokecolor="black [3200]" strokeweight=".5pt">
                  <v:stroke endarrow="open" joinstyle="miter"/>
                </v:shape>
                <v:shape id="Connecteur droit avec flèche 54" o:spid="_x0000_s1038" type="#_x0000_t32" style="position:absolute;left:18576;top:16703;width:6192;height:92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" strokecolor="black [3200]" strokeweight=".5pt">
                  <v:stroke endarrow="open" joinstyle="miter"/>
                </v:shape>
                <v:shape id="Connecteur droit avec flèche 56" o:spid="_x0000_s1039" type="#_x0000_t32" style="position:absolute;left:10296;top:4175;width:756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" strokecolor="black [3200]" strokeweight=".5pt">
                  <v:stroke endarrow="open" joinstyle="miter"/>
                </v:shape>
                <v:shape id="Connecteur droit avec flèche 57" o:spid="_x0000_s1040" type="#_x0000_t32" style="position:absolute;left:10440;top:18868;width:648;height:53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" strokecolor="black [3200]" strokeweight=".5pt">
                  <v:stroke endarrow="open" joinstyle="miter"/>
                </v:shape>
                <v:line id="Connecteur droit 58" o:spid="_x0000_s1041" style="position:absolute;flip:y;visibility:visible;mso-wrap-style:square" from="10584,4175" to="10584,12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" strokecolor="#5b9bd5 [3204]" strokeweight=".5pt">
                  <v:stroke joinstyle="miter"/>
                </v:line>
                <w10:anchorlock/>
              </v:group>
            </w:pict>
          </mc:Fallback>
        </mc:AlternateContent>
      </w:r>
    </w:p>
    <w:p w14:paraId="059103E3" w14:textId="77777777" w:rsidR="003C5174" w:rsidRDefault="003C5174" w:rsidP="003C5174">
      <w:pPr>
        <w:jc w:val="both"/>
        <w:rPr>
          <w:rFonts w:ascii="Times New Roman" w:hAnsi="Times New Roman" w:cs="Times New Roman"/>
          <w:b/>
          <w:sz w:val="24"/>
          <w:szCs w:val="24"/>
        </w:rPr>
      </w:pPr>
      <w:r w:rsidRPr="005E7409">
        <w:rPr>
          <w:rFonts w:ascii="Times New Roman" w:hAnsi="Times New Roman" w:cs="Times New Roman"/>
          <w:sz w:val="24"/>
          <w:szCs w:val="24"/>
        </w:rPr>
        <w:t>Au cours de ce cycle</w:t>
      </w:r>
      <w:r>
        <w:rPr>
          <w:rFonts w:ascii="Times New Roman" w:hAnsi="Times New Roman" w:cs="Times New Roman"/>
          <w:sz w:val="24"/>
          <w:szCs w:val="24"/>
          <w:u w:val="single"/>
        </w:rPr>
        <w:t>,</w:t>
      </w:r>
      <w:r>
        <w:rPr>
          <w:rFonts w:ascii="Times New Roman" w:hAnsi="Times New Roman" w:cs="Times New Roman"/>
          <w:sz w:val="24"/>
          <w:szCs w:val="24"/>
        </w:rPr>
        <w:t xml:space="preserve"> l’entreprise a besoin de capitaux pour financer son activité (acheter les matières premières, les stocker, les transformer</w:t>
      </w:r>
      <w:r w:rsidR="005C6D1B">
        <w:rPr>
          <w:rFonts w:ascii="Times New Roman" w:hAnsi="Times New Roman" w:cs="Times New Roman"/>
          <w:sz w:val="24"/>
          <w:szCs w:val="24"/>
        </w:rPr>
        <w:t>, stocker les produits finis). </w:t>
      </w:r>
      <w:r>
        <w:rPr>
          <w:rFonts w:ascii="Times New Roman" w:hAnsi="Times New Roman" w:cs="Times New Roman"/>
          <w:sz w:val="24"/>
          <w:szCs w:val="24"/>
        </w:rPr>
        <w:t>Plus le cycle d’exploitation est long, plus ses besoins de financement sont importants</w:t>
      </w:r>
      <w:r>
        <w:rPr>
          <w:rFonts w:ascii="Times New Roman" w:hAnsi="Times New Roman" w:cs="Times New Roman"/>
          <w:b/>
          <w:sz w:val="24"/>
          <w:szCs w:val="24"/>
        </w:rPr>
        <w:t>.</w:t>
      </w:r>
    </w:p>
    <w:p w14:paraId="274EC3EE" w14:textId="77777777" w:rsidR="003C5174" w:rsidRDefault="003C5174" w:rsidP="003C5174">
      <w:pPr>
        <w:jc w:val="both"/>
        <w:rPr>
          <w:rFonts w:ascii="Times New Roman" w:hAnsi="Times New Roman" w:cs="Times New Roman"/>
          <w:b/>
          <w:sz w:val="24"/>
          <w:szCs w:val="24"/>
        </w:rPr>
      </w:pPr>
      <w:r>
        <w:rPr>
          <w:rFonts w:ascii="Times New Roman" w:hAnsi="Times New Roman" w:cs="Times New Roman"/>
          <w:b/>
          <w:sz w:val="24"/>
          <w:szCs w:val="24"/>
        </w:rPr>
        <w:t>B. C</w:t>
      </w:r>
      <w:r w:rsidRPr="00B74711">
        <w:rPr>
          <w:rFonts w:ascii="Times New Roman" w:hAnsi="Times New Roman" w:cs="Times New Roman"/>
          <w:b/>
          <w:sz w:val="24"/>
          <w:szCs w:val="24"/>
        </w:rPr>
        <w:t>om</w:t>
      </w:r>
      <w:r w:rsidR="005C6D1B">
        <w:rPr>
          <w:rFonts w:ascii="Times New Roman" w:hAnsi="Times New Roman" w:cs="Times New Roman"/>
          <w:b/>
          <w:sz w:val="24"/>
          <w:szCs w:val="24"/>
        </w:rPr>
        <w:t>ment financer l’exploitation le</w:t>
      </w:r>
      <w:r w:rsidRPr="00B74711">
        <w:rPr>
          <w:rFonts w:ascii="Times New Roman" w:hAnsi="Times New Roman" w:cs="Times New Roman"/>
          <w:b/>
          <w:sz w:val="24"/>
          <w:szCs w:val="24"/>
        </w:rPr>
        <w:t xml:space="preserve"> plus efficacement possible ? </w:t>
      </w:r>
    </w:p>
    <w:p w14:paraId="13BF383D" w14:textId="77777777" w:rsidR="003C5174" w:rsidRDefault="003C5174" w:rsidP="003C5174">
      <w:pPr>
        <w:pStyle w:val="Paragraphedeliste"/>
        <w:numPr>
          <w:ilvl w:val="0"/>
          <w:numId w:val="6"/>
        </w:numPr>
        <w:rPr>
          <w:rFonts w:ascii="Times New Roman" w:hAnsi="Times New Roman" w:cs="Times New Roman"/>
          <w:b/>
          <w:sz w:val="24"/>
          <w:szCs w:val="24"/>
        </w:rPr>
      </w:pPr>
      <w:r>
        <w:rPr>
          <w:rFonts w:ascii="Times New Roman" w:hAnsi="Times New Roman" w:cs="Times New Roman"/>
          <w:b/>
          <w:sz w:val="24"/>
          <w:szCs w:val="24"/>
        </w:rPr>
        <w:t>Le Fonds de Roulement Net Global</w:t>
      </w:r>
    </w:p>
    <w:p w14:paraId="29DD272C" w14:textId="77777777" w:rsidR="003C5174" w:rsidRDefault="003C5174" w:rsidP="003C5174">
      <w:pPr>
        <w:jc w:val="both"/>
        <w:rPr>
          <w:rFonts w:ascii="Times New Roman" w:hAnsi="Times New Roman" w:cs="Times New Roman"/>
          <w:sz w:val="24"/>
          <w:szCs w:val="24"/>
        </w:rPr>
      </w:pPr>
      <w:r w:rsidRPr="005F5318">
        <w:rPr>
          <w:rFonts w:ascii="Times New Roman" w:hAnsi="Times New Roman" w:cs="Times New Roman"/>
          <w:sz w:val="24"/>
          <w:szCs w:val="24"/>
        </w:rPr>
        <w:t>Le financement de l’exploitation se fait grâce</w:t>
      </w:r>
      <w:r>
        <w:rPr>
          <w:rFonts w:ascii="Times New Roman" w:hAnsi="Times New Roman" w:cs="Times New Roman"/>
          <w:sz w:val="24"/>
          <w:szCs w:val="24"/>
        </w:rPr>
        <w:t xml:space="preserve"> au fonds de roulement net global (FRNG) : toute entreprise doit rechercher l’équilibre financier, i.e. que l’actif immobilisé au bilan doit être financé par des ressources stables (capitaux propres + dettes financières). L’excèdent de ressources stables sur l’actif immobilisé constitue le FRNG, il sert à financer le besoin en fonds de roulement (B.F.R)</w:t>
      </w:r>
    </w:p>
    <w:p w14:paraId="24348081" w14:textId="77777777" w:rsidR="003C5174" w:rsidRPr="005F5318" w:rsidRDefault="003C5174" w:rsidP="003C5174">
      <w:pPr>
        <w:rPr>
          <w:rFonts w:ascii="Times New Roman" w:hAnsi="Times New Roman" w:cs="Times New Roman"/>
          <w:sz w:val="24"/>
          <w:szCs w:val="24"/>
        </w:rPr>
      </w:pPr>
      <w:r w:rsidRPr="00685CB5">
        <w:rPr>
          <w:rFonts w:ascii="Times New Roman" w:hAnsi="Times New Roman" w:cs="Times New Roman"/>
          <w:sz w:val="24"/>
          <w:szCs w:val="24"/>
          <w:bdr w:val="single" w:sz="4" w:space="0" w:color="auto"/>
        </w:rPr>
        <w:t>FRNG = RESSOURCE</w:t>
      </w:r>
      <w:r>
        <w:rPr>
          <w:rFonts w:ascii="Times New Roman" w:hAnsi="Times New Roman" w:cs="Times New Roman"/>
          <w:sz w:val="24"/>
          <w:szCs w:val="24"/>
          <w:bdr w:val="single" w:sz="4" w:space="0" w:color="auto"/>
        </w:rPr>
        <w:t>S</w:t>
      </w:r>
      <w:r w:rsidRPr="00685CB5">
        <w:rPr>
          <w:rFonts w:ascii="Times New Roman" w:hAnsi="Times New Roman" w:cs="Times New Roman"/>
          <w:sz w:val="24"/>
          <w:szCs w:val="24"/>
          <w:bdr w:val="single" w:sz="4" w:space="0" w:color="auto"/>
        </w:rPr>
        <w:t xml:space="preserve"> STABLES  - ACTIF</w:t>
      </w:r>
      <w:r>
        <w:rPr>
          <w:rFonts w:ascii="Times New Roman" w:hAnsi="Times New Roman" w:cs="Times New Roman"/>
          <w:sz w:val="24"/>
          <w:szCs w:val="24"/>
          <w:bdr w:val="single" w:sz="4" w:space="0" w:color="auto"/>
        </w:rPr>
        <w:t>S</w:t>
      </w:r>
      <w:r w:rsidRPr="00685CB5">
        <w:rPr>
          <w:rFonts w:ascii="Times New Roman" w:hAnsi="Times New Roman" w:cs="Times New Roman"/>
          <w:sz w:val="24"/>
          <w:szCs w:val="24"/>
          <w:bdr w:val="single" w:sz="4" w:space="0" w:color="auto"/>
        </w:rPr>
        <w:t xml:space="preserve"> IMMOBILISE</w:t>
      </w:r>
      <w:r>
        <w:rPr>
          <w:rFonts w:ascii="Times New Roman" w:hAnsi="Times New Roman" w:cs="Times New Roman"/>
          <w:sz w:val="24"/>
          <w:szCs w:val="24"/>
          <w:bdr w:val="single" w:sz="4" w:space="0" w:color="auto"/>
        </w:rPr>
        <w:t xml:space="preserve">S </w:t>
      </w:r>
      <w:r>
        <w:rPr>
          <w:rFonts w:ascii="Times New Roman" w:hAnsi="Times New Roman" w:cs="Times New Roman"/>
          <w:sz w:val="24"/>
          <w:szCs w:val="24"/>
        </w:rPr>
        <w:t xml:space="preserve">  </w:t>
      </w:r>
      <w:r w:rsidRPr="00685CB5">
        <w:rPr>
          <w:rFonts w:ascii="Times New Roman" w:hAnsi="Times New Roman" w:cs="Times New Roman"/>
          <w:sz w:val="24"/>
          <w:szCs w:val="24"/>
          <w:bdr w:val="single" w:sz="4" w:space="0" w:color="auto"/>
        </w:rPr>
        <w:t xml:space="preserve"> RS = Det</w:t>
      </w:r>
      <w:r>
        <w:rPr>
          <w:rFonts w:ascii="Times New Roman" w:hAnsi="Times New Roman" w:cs="Times New Roman"/>
          <w:sz w:val="24"/>
          <w:szCs w:val="24"/>
          <w:bdr w:val="single" w:sz="4" w:space="0" w:color="auto"/>
        </w:rPr>
        <w:t>tes financiè</w:t>
      </w:r>
      <w:r w:rsidRPr="00685CB5">
        <w:rPr>
          <w:rFonts w:ascii="Times New Roman" w:hAnsi="Times New Roman" w:cs="Times New Roman"/>
          <w:sz w:val="24"/>
          <w:szCs w:val="24"/>
          <w:bdr w:val="single" w:sz="4" w:space="0" w:color="auto"/>
        </w:rPr>
        <w:t>r</w:t>
      </w:r>
      <w:r>
        <w:rPr>
          <w:rFonts w:ascii="Times New Roman" w:hAnsi="Times New Roman" w:cs="Times New Roman"/>
          <w:sz w:val="24"/>
          <w:szCs w:val="24"/>
          <w:bdr w:val="single" w:sz="4" w:space="0" w:color="auto"/>
        </w:rPr>
        <w:t>es</w:t>
      </w:r>
      <w:r w:rsidRPr="00685CB5">
        <w:rPr>
          <w:rFonts w:ascii="Times New Roman" w:hAnsi="Times New Roman" w:cs="Times New Roman"/>
          <w:sz w:val="24"/>
          <w:szCs w:val="24"/>
          <w:bdr w:val="single" w:sz="4" w:space="0" w:color="auto"/>
        </w:rPr>
        <w:t xml:space="preserve"> + cap</w:t>
      </w:r>
      <w:r>
        <w:rPr>
          <w:rFonts w:ascii="Times New Roman" w:hAnsi="Times New Roman" w:cs="Times New Roman"/>
          <w:sz w:val="24"/>
          <w:szCs w:val="24"/>
          <w:bdr w:val="single" w:sz="4" w:space="0" w:color="auto"/>
        </w:rPr>
        <w:t>itaux</w:t>
      </w:r>
      <w:r w:rsidRPr="00685CB5">
        <w:rPr>
          <w:rFonts w:ascii="Times New Roman" w:hAnsi="Times New Roman" w:cs="Times New Roman"/>
          <w:sz w:val="24"/>
          <w:szCs w:val="24"/>
          <w:bdr w:val="single" w:sz="4" w:space="0" w:color="auto"/>
        </w:rPr>
        <w:t xml:space="preserve"> prop</w:t>
      </w:r>
      <w:r>
        <w:rPr>
          <w:rFonts w:ascii="Times New Roman" w:hAnsi="Times New Roman" w:cs="Times New Roman"/>
          <w:sz w:val="24"/>
          <w:szCs w:val="24"/>
          <w:bdr w:val="single" w:sz="4" w:space="0" w:color="auto"/>
        </w:rPr>
        <w:t>res</w:t>
      </w:r>
    </w:p>
    <w:p w14:paraId="0D328D36" w14:textId="77777777" w:rsidR="003C5174" w:rsidRPr="00736461" w:rsidRDefault="003C5174" w:rsidP="003C5174">
      <w:pPr>
        <w:pStyle w:val="Paragraphedeliste"/>
        <w:numPr>
          <w:ilvl w:val="0"/>
          <w:numId w:val="6"/>
        </w:numPr>
        <w:rPr>
          <w:rFonts w:ascii="Times New Roman" w:hAnsi="Times New Roman" w:cs="Times New Roman"/>
          <w:sz w:val="24"/>
          <w:szCs w:val="24"/>
        </w:rPr>
      </w:pPr>
      <w:r>
        <w:rPr>
          <w:rFonts w:ascii="Times New Roman" w:hAnsi="Times New Roman" w:cs="Times New Roman"/>
          <w:b/>
          <w:sz w:val="24"/>
          <w:szCs w:val="24"/>
        </w:rPr>
        <w:t>le Fonds de Roulement Net Global doit assurer le financement du B.F.R</w:t>
      </w:r>
    </w:p>
    <w:p w14:paraId="67601ADE"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Le BFR correspond aux besoins de financement d’une entreprise au cours de son exploitation (ex : coût de stockage), il varie avec l’activité de l’entreprise.</w:t>
      </w:r>
    </w:p>
    <w:p w14:paraId="6CF3B713" w14:textId="77777777" w:rsidR="003C5174" w:rsidRPr="00412007" w:rsidRDefault="003C5174" w:rsidP="003C5174">
      <w:pPr>
        <w:rPr>
          <w:rFonts w:ascii="Times New Roman" w:hAnsi="Times New Roman" w:cs="Times New Roman"/>
          <w:sz w:val="28"/>
          <w:szCs w:val="28"/>
        </w:rPr>
      </w:pPr>
      <w:r w:rsidRPr="00412007">
        <w:rPr>
          <w:rFonts w:ascii="Times New Roman" w:hAnsi="Times New Roman" w:cs="Times New Roman"/>
          <w:sz w:val="28"/>
          <w:szCs w:val="28"/>
          <w:bdr w:val="single" w:sz="4" w:space="0" w:color="auto"/>
        </w:rPr>
        <w:t xml:space="preserve">BFR = stocks + Crédits accordés aux clients – crédits </w:t>
      </w:r>
      <w:r w:rsidR="001A2638">
        <w:rPr>
          <w:rFonts w:ascii="Times New Roman" w:hAnsi="Times New Roman" w:cs="Times New Roman"/>
          <w:sz w:val="28"/>
          <w:szCs w:val="28"/>
          <w:bdr w:val="single" w:sz="4" w:space="0" w:color="auto"/>
        </w:rPr>
        <w:t xml:space="preserve">accordés </w:t>
      </w:r>
      <w:r w:rsidRPr="00412007">
        <w:rPr>
          <w:rFonts w:ascii="Times New Roman" w:hAnsi="Times New Roman" w:cs="Times New Roman"/>
          <w:sz w:val="28"/>
          <w:szCs w:val="28"/>
          <w:bdr w:val="single" w:sz="4" w:space="0" w:color="auto"/>
        </w:rPr>
        <w:t>par les fournisseurs</w:t>
      </w:r>
      <w:r w:rsidRPr="00412007">
        <w:rPr>
          <w:rFonts w:ascii="Times New Roman" w:hAnsi="Times New Roman" w:cs="Times New Roman"/>
          <w:sz w:val="28"/>
          <w:szCs w:val="28"/>
        </w:rPr>
        <w:t xml:space="preserve">    </w:t>
      </w:r>
    </w:p>
    <w:p w14:paraId="5CC33A7A"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lastRenderedPageBreak/>
        <w:t>Il existe plusieurs moyens pour diminuer le besoin en fonds de roulement.</w:t>
      </w:r>
    </w:p>
    <w:p w14:paraId="48A74DC9" w14:textId="77777777" w:rsidR="003C5174" w:rsidRDefault="003C5174" w:rsidP="003C5174">
      <w:pPr>
        <w:pStyle w:val="Paragraphedeliste"/>
        <w:numPr>
          <w:ilvl w:val="0"/>
          <w:numId w:val="3"/>
        </w:numPr>
        <w:rPr>
          <w:rFonts w:ascii="Times New Roman" w:hAnsi="Times New Roman" w:cs="Times New Roman"/>
          <w:sz w:val="24"/>
          <w:szCs w:val="24"/>
        </w:rPr>
      </w:pPr>
      <w:r w:rsidRPr="00362F82">
        <w:rPr>
          <w:rFonts w:ascii="Times New Roman" w:hAnsi="Times New Roman" w:cs="Times New Roman"/>
          <w:sz w:val="24"/>
          <w:szCs w:val="24"/>
        </w:rPr>
        <w:t>En limitant les stocks : pour limiter les co</w:t>
      </w:r>
      <w:r>
        <w:rPr>
          <w:rFonts w:ascii="Times New Roman" w:hAnsi="Times New Roman" w:cs="Times New Roman"/>
          <w:sz w:val="24"/>
          <w:szCs w:val="24"/>
        </w:rPr>
        <w:t>û</w:t>
      </w:r>
      <w:r w:rsidRPr="00362F82">
        <w:rPr>
          <w:rFonts w:ascii="Times New Roman" w:hAnsi="Times New Roman" w:cs="Times New Roman"/>
          <w:sz w:val="24"/>
          <w:szCs w:val="24"/>
        </w:rPr>
        <w:t>ts qui y sont rattachés</w:t>
      </w:r>
      <w:r>
        <w:rPr>
          <w:rFonts w:ascii="Times New Roman" w:hAnsi="Times New Roman" w:cs="Times New Roman"/>
          <w:sz w:val="24"/>
          <w:szCs w:val="24"/>
        </w:rPr>
        <w:t> ;</w:t>
      </w:r>
    </w:p>
    <w:p w14:paraId="555FEE56" w14:textId="77777777" w:rsidR="003C5174" w:rsidRDefault="003C5174" w:rsidP="003C5174">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En négociant des augmentations de délai de paiement, ceci auprès des fournisseurs ;</w:t>
      </w:r>
    </w:p>
    <w:p w14:paraId="5C473CAC" w14:textId="77777777" w:rsidR="003C5174" w:rsidRPr="00A9383F" w:rsidRDefault="003C5174" w:rsidP="003C5174">
      <w:pPr>
        <w:pStyle w:val="Paragraphedeliste"/>
        <w:numPr>
          <w:ilvl w:val="0"/>
          <w:numId w:val="3"/>
        </w:numPr>
        <w:rPr>
          <w:rFonts w:ascii="Times New Roman" w:hAnsi="Times New Roman" w:cs="Times New Roman"/>
          <w:sz w:val="24"/>
          <w:szCs w:val="24"/>
        </w:rPr>
      </w:pPr>
      <w:r w:rsidRPr="00A9383F">
        <w:rPr>
          <w:rFonts w:ascii="Times New Roman" w:hAnsi="Times New Roman" w:cs="Times New Roman"/>
          <w:sz w:val="24"/>
          <w:szCs w:val="24"/>
        </w:rPr>
        <w:t>En diminuant les délais accordés aux clients</w:t>
      </w:r>
      <w:r>
        <w:rPr>
          <w:rFonts w:ascii="Times New Roman" w:hAnsi="Times New Roman" w:cs="Times New Roman"/>
          <w:sz w:val="24"/>
          <w:szCs w:val="24"/>
        </w:rPr>
        <w:t>,</w:t>
      </w:r>
      <w:r w:rsidRPr="00A9383F">
        <w:rPr>
          <w:rFonts w:ascii="Times New Roman" w:hAnsi="Times New Roman" w:cs="Times New Roman"/>
          <w:sz w:val="24"/>
          <w:szCs w:val="24"/>
        </w:rPr>
        <w:t xml:space="preserve"> ceci afin de raccourcir le décalage entre les décaissements et les encaissements.  </w:t>
      </w:r>
    </w:p>
    <w:p w14:paraId="33EF6DC0" w14:textId="77777777" w:rsidR="003C5174" w:rsidRDefault="003C5174" w:rsidP="003C5174">
      <w:pPr>
        <w:pStyle w:val="Paragraphedeliste"/>
        <w:rPr>
          <w:rFonts w:ascii="Times New Roman" w:hAnsi="Times New Roman" w:cs="Times New Roman"/>
          <w:sz w:val="24"/>
          <w:szCs w:val="24"/>
        </w:rPr>
      </w:pPr>
    </w:p>
    <w:p w14:paraId="03521B5F" w14:textId="77777777" w:rsidR="003C5174" w:rsidRDefault="003C5174" w:rsidP="003C5174">
      <w:pPr>
        <w:pStyle w:val="Paragraphedeliste"/>
        <w:numPr>
          <w:ilvl w:val="0"/>
          <w:numId w:val="6"/>
        </w:numPr>
        <w:rPr>
          <w:rFonts w:ascii="Times New Roman" w:hAnsi="Times New Roman" w:cs="Times New Roman"/>
          <w:b/>
          <w:sz w:val="24"/>
          <w:szCs w:val="24"/>
        </w:rPr>
      </w:pPr>
      <w:r>
        <w:rPr>
          <w:rFonts w:ascii="Times New Roman" w:hAnsi="Times New Roman" w:cs="Times New Roman"/>
          <w:b/>
          <w:sz w:val="24"/>
          <w:szCs w:val="24"/>
        </w:rPr>
        <w:t>La trésorerie</w:t>
      </w:r>
    </w:p>
    <w:p w14:paraId="7FF0BCF6"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 xml:space="preserve">Elle est constituée par la différence entre le FRNG et le BFR. Trois cas sont possibles en matière de trésorerie. La situation optimale est celle pour laquelle la trésorerie est nulle. Mais cette situation est rarement jugée suffisante, c’est la raison pour laquelle les entreprises se procurent souvent des moyens complémentaires de financement de l’exploitation. Les différentes situations de la trésorerie sont : </w:t>
      </w:r>
    </w:p>
    <w:p w14:paraId="518E2513" w14:textId="77777777" w:rsidR="003C5174" w:rsidRPr="008567DA" w:rsidRDefault="003C5174" w:rsidP="003C5174">
      <w:pPr>
        <w:pStyle w:val="Paragraphedeliste"/>
        <w:numPr>
          <w:ilvl w:val="0"/>
          <w:numId w:val="7"/>
        </w:numPr>
        <w:rPr>
          <w:rFonts w:ascii="Times New Roman" w:hAnsi="Times New Roman" w:cs="Times New Roman"/>
          <w:sz w:val="24"/>
          <w:szCs w:val="24"/>
        </w:rPr>
      </w:pPr>
      <w:r>
        <w:rPr>
          <w:rFonts w:ascii="Times New Roman" w:hAnsi="Times New Roman" w:cs="Times New Roman"/>
          <w:b/>
          <w:sz w:val="24"/>
          <w:szCs w:val="24"/>
        </w:rPr>
        <w:t xml:space="preserve">La trésorerie positive (FRNG </w:t>
      </w:r>
      <w:r w:rsidRPr="008567DA">
        <w:rPr>
          <w:rFonts w:ascii="Times New Roman" w:hAnsi="Times New Roman" w:cs="Times New Roman"/>
          <w:b/>
          <w:sz w:val="28"/>
          <w:szCs w:val="24"/>
        </w:rPr>
        <w:t>&gt;</w:t>
      </w:r>
      <w:r>
        <w:rPr>
          <w:rFonts w:ascii="Times New Roman" w:hAnsi="Times New Roman" w:cs="Times New Roman"/>
          <w:b/>
          <w:sz w:val="24"/>
          <w:szCs w:val="24"/>
        </w:rPr>
        <w:t xml:space="preserve"> BFR)</w:t>
      </w:r>
    </w:p>
    <w:p w14:paraId="55313679"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L’entreprise peut financer son exploitation, tout en conservant un excédent d’argent qu’elle peut affecter à d’autres dépenses.</w:t>
      </w:r>
    </w:p>
    <w:p w14:paraId="5C03A15D" w14:textId="77777777" w:rsidR="003C5174" w:rsidRPr="00725061" w:rsidRDefault="003C5174" w:rsidP="003C5174">
      <w:pPr>
        <w:pStyle w:val="Paragraphedeliste"/>
        <w:numPr>
          <w:ilvl w:val="0"/>
          <w:numId w:val="7"/>
        </w:numPr>
        <w:rPr>
          <w:rFonts w:ascii="Times New Roman" w:hAnsi="Times New Roman" w:cs="Times New Roman"/>
          <w:b/>
          <w:sz w:val="24"/>
          <w:szCs w:val="24"/>
        </w:rPr>
      </w:pPr>
      <w:r w:rsidRPr="00725061">
        <w:rPr>
          <w:rFonts w:ascii="Times New Roman" w:hAnsi="Times New Roman" w:cs="Times New Roman"/>
          <w:b/>
          <w:sz w:val="24"/>
          <w:szCs w:val="24"/>
        </w:rPr>
        <w:t>La trésorerie négative (FRNG</w:t>
      </w:r>
      <w:r w:rsidR="00595BD8">
        <w:rPr>
          <w:rFonts w:ascii="Times New Roman" w:hAnsi="Times New Roman" w:cs="Times New Roman"/>
          <w:b/>
          <w:sz w:val="24"/>
          <w:szCs w:val="24"/>
        </w:rPr>
        <w:t xml:space="preserve"> </w:t>
      </w:r>
      <w:r w:rsidRPr="00725061">
        <w:rPr>
          <w:rFonts w:ascii="Times New Roman" w:hAnsi="Times New Roman" w:cs="Times New Roman"/>
          <w:b/>
          <w:sz w:val="24"/>
          <w:szCs w:val="24"/>
        </w:rPr>
        <w:t>&lt;</w:t>
      </w:r>
      <w:r w:rsidR="00595BD8">
        <w:rPr>
          <w:rFonts w:ascii="Times New Roman" w:hAnsi="Times New Roman" w:cs="Times New Roman"/>
          <w:b/>
          <w:sz w:val="24"/>
          <w:szCs w:val="24"/>
        </w:rPr>
        <w:t xml:space="preserve"> </w:t>
      </w:r>
      <w:r w:rsidRPr="00725061">
        <w:rPr>
          <w:rFonts w:ascii="Times New Roman" w:hAnsi="Times New Roman" w:cs="Times New Roman"/>
          <w:b/>
          <w:sz w:val="24"/>
          <w:szCs w:val="24"/>
        </w:rPr>
        <w:t>BFR)</w:t>
      </w:r>
    </w:p>
    <w:p w14:paraId="12524BB9" w14:textId="77777777" w:rsidR="003C5174" w:rsidRDefault="003C5174" w:rsidP="003C5174">
      <w:pPr>
        <w:jc w:val="both"/>
        <w:rPr>
          <w:rFonts w:ascii="Times New Roman" w:hAnsi="Times New Roman" w:cs="Times New Roman"/>
          <w:sz w:val="24"/>
          <w:szCs w:val="24"/>
        </w:rPr>
      </w:pPr>
      <w:r>
        <w:rPr>
          <w:rFonts w:ascii="Times New Roman" w:hAnsi="Times New Roman" w:cs="Times New Roman"/>
          <w:sz w:val="24"/>
          <w:szCs w:val="24"/>
        </w:rPr>
        <w:t xml:space="preserve">L’entreprise ne peut pas financer son exploitation avec le FRNG : elle doit trouver des financements externes supplémentaires (ex : autorisation de découvert, escompte d’effets de commerce…) </w:t>
      </w:r>
      <w:r w:rsidRPr="00D5203B">
        <w:rPr>
          <w:rFonts w:ascii="Times New Roman" w:hAnsi="Times New Roman" w:cs="Times New Roman"/>
          <w:sz w:val="24"/>
          <w:szCs w:val="24"/>
        </w:rPr>
        <w:t xml:space="preserve"> </w:t>
      </w:r>
    </w:p>
    <w:p w14:paraId="7A2FB100" w14:textId="77777777" w:rsidR="003C5174" w:rsidRDefault="003C5174" w:rsidP="003C5174">
      <w:pPr>
        <w:pStyle w:val="Paragraphedeliste"/>
        <w:numPr>
          <w:ilvl w:val="0"/>
          <w:numId w:val="7"/>
        </w:numPr>
        <w:rPr>
          <w:rFonts w:ascii="Times New Roman" w:hAnsi="Times New Roman" w:cs="Times New Roman"/>
          <w:b/>
          <w:sz w:val="24"/>
          <w:szCs w:val="24"/>
        </w:rPr>
      </w:pPr>
      <w:r w:rsidRPr="00725061">
        <w:rPr>
          <w:rFonts w:ascii="Times New Roman" w:hAnsi="Times New Roman" w:cs="Times New Roman"/>
          <w:b/>
          <w:sz w:val="24"/>
          <w:szCs w:val="24"/>
        </w:rPr>
        <w:t>La trésorerie nulle</w:t>
      </w:r>
      <w:r>
        <w:rPr>
          <w:rFonts w:ascii="Times New Roman" w:hAnsi="Times New Roman" w:cs="Times New Roman"/>
          <w:b/>
          <w:sz w:val="24"/>
          <w:szCs w:val="24"/>
        </w:rPr>
        <w:t xml:space="preserve"> </w:t>
      </w:r>
      <w:r w:rsidRPr="00725061">
        <w:rPr>
          <w:rFonts w:ascii="Times New Roman" w:hAnsi="Times New Roman" w:cs="Times New Roman"/>
          <w:b/>
          <w:sz w:val="24"/>
          <w:szCs w:val="24"/>
        </w:rPr>
        <w:t>(FRNG = BFR)</w:t>
      </w:r>
    </w:p>
    <w:p w14:paraId="12A64111"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L’entreprise dispose juste des capitaux nécessaires pour financer son exploitation.</w:t>
      </w:r>
      <w:r w:rsidR="00BF332F">
        <w:rPr>
          <w:rFonts w:ascii="Times New Roman" w:hAnsi="Times New Roman" w:cs="Times New Roman"/>
          <w:sz w:val="24"/>
          <w:szCs w:val="24"/>
        </w:rPr>
        <w:t xml:space="preserve"> C’est le seuil de rentabilité ou le point mort. L’entreprise n’a pas de bénéfice mais aussi elle </w:t>
      </w:r>
      <w:r w:rsidR="00190229">
        <w:rPr>
          <w:rFonts w:ascii="Times New Roman" w:hAnsi="Times New Roman" w:cs="Times New Roman"/>
          <w:sz w:val="24"/>
          <w:szCs w:val="24"/>
        </w:rPr>
        <w:t xml:space="preserve">n’a </w:t>
      </w:r>
      <w:r w:rsidR="00BF332F">
        <w:rPr>
          <w:rFonts w:ascii="Times New Roman" w:hAnsi="Times New Roman" w:cs="Times New Roman"/>
          <w:sz w:val="24"/>
          <w:szCs w:val="24"/>
        </w:rPr>
        <w:t>pas de perte.</w:t>
      </w:r>
    </w:p>
    <w:p w14:paraId="0F1AEA97" w14:textId="77777777" w:rsidR="003C5174" w:rsidRDefault="003C5174" w:rsidP="003C5174">
      <w:pPr>
        <w:rPr>
          <w:rFonts w:ascii="Times New Roman" w:hAnsi="Times New Roman" w:cs="Times New Roman"/>
          <w:sz w:val="24"/>
          <w:szCs w:val="24"/>
        </w:rPr>
      </w:pPr>
    </w:p>
    <w:p w14:paraId="16A66C4A" w14:textId="77777777" w:rsidR="003C5174" w:rsidRDefault="003C5174" w:rsidP="003C5174">
      <w:pPr>
        <w:jc w:val="center"/>
        <w:rPr>
          <w:rFonts w:ascii="Times New Roman" w:hAnsi="Times New Roman" w:cs="Times New Roman"/>
          <w:sz w:val="24"/>
          <w:szCs w:val="24"/>
          <w:u w:val="single"/>
        </w:rPr>
      </w:pPr>
      <w:r w:rsidRPr="00A246A7">
        <w:rPr>
          <w:rFonts w:ascii="Times New Roman" w:hAnsi="Times New Roman" w:cs="Times New Roman"/>
          <w:sz w:val="24"/>
          <w:szCs w:val="24"/>
          <w:u w:val="single"/>
        </w:rPr>
        <w:t>Correction du devoir</w:t>
      </w:r>
    </w:p>
    <w:p w14:paraId="099506A9" w14:textId="77777777" w:rsidR="003C5174" w:rsidRDefault="003C5174" w:rsidP="003C5174">
      <w:pPr>
        <w:pStyle w:val="Paragraphedeliste"/>
        <w:numPr>
          <w:ilvl w:val="0"/>
          <w:numId w:val="8"/>
        </w:numPr>
        <w:rPr>
          <w:rFonts w:ascii="Times New Roman" w:hAnsi="Times New Roman" w:cs="Times New Roman"/>
          <w:sz w:val="24"/>
          <w:szCs w:val="24"/>
        </w:rPr>
      </w:pPr>
      <w:r w:rsidRPr="00A246A7">
        <w:rPr>
          <w:rFonts w:ascii="Times New Roman" w:hAnsi="Times New Roman" w:cs="Times New Roman"/>
          <w:sz w:val="24"/>
          <w:szCs w:val="24"/>
        </w:rPr>
        <w:t>Le but que doit se fixer l’entreprise est : la survie</w:t>
      </w:r>
    </w:p>
    <w:p w14:paraId="352D4894" w14:textId="77777777" w:rsidR="003C5174" w:rsidRDefault="00212A80" w:rsidP="003C5174">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La hiérarchie : Survie- profit</w:t>
      </w:r>
      <w:r w:rsidR="003C5174">
        <w:rPr>
          <w:rFonts w:ascii="Times New Roman" w:hAnsi="Times New Roman" w:cs="Times New Roman"/>
          <w:sz w:val="24"/>
          <w:szCs w:val="24"/>
        </w:rPr>
        <w:t>- indépendance- croissance- réussite/image de marque</w:t>
      </w:r>
    </w:p>
    <w:p w14:paraId="25461EAC" w14:textId="77777777" w:rsidR="003C5174" w:rsidRDefault="003C5174" w:rsidP="003C5174">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Lister objectif : réaliste- cohérent –hiérarchisé- précis ou bien un objectif doit être smart</w:t>
      </w:r>
    </w:p>
    <w:p w14:paraId="0E137C36" w14:textId="77777777" w:rsidR="003C5174" w:rsidRDefault="003C5174" w:rsidP="00212A80">
      <w:pPr>
        <w:pStyle w:val="Paragraphedeliste"/>
        <w:rPr>
          <w:rFonts w:ascii="Times New Roman" w:hAnsi="Times New Roman" w:cs="Times New Roman"/>
          <w:sz w:val="24"/>
          <w:szCs w:val="24"/>
        </w:rPr>
      </w:pPr>
    </w:p>
    <w:p w14:paraId="1C90E149" w14:textId="77777777" w:rsidR="003C5174" w:rsidRDefault="003C5174" w:rsidP="003C5174">
      <w:pPr>
        <w:ind w:left="360"/>
        <w:rPr>
          <w:rFonts w:ascii="Times New Roman" w:hAnsi="Times New Roman" w:cs="Times New Roman"/>
          <w:sz w:val="24"/>
          <w:szCs w:val="24"/>
        </w:rPr>
      </w:pPr>
      <w:r>
        <w:rPr>
          <w:rFonts w:ascii="Times New Roman" w:hAnsi="Times New Roman" w:cs="Times New Roman"/>
          <w:sz w:val="24"/>
          <w:szCs w:val="24"/>
        </w:rPr>
        <w:t>TD1</w:t>
      </w:r>
    </w:p>
    <w:p w14:paraId="7D1F73CD" w14:textId="77777777" w:rsidR="003C5174" w:rsidRPr="00855B14" w:rsidRDefault="003C5174" w:rsidP="003C5174">
      <w:pPr>
        <w:ind w:left="360"/>
        <w:rPr>
          <w:rFonts w:ascii="Times New Roman" w:hAnsi="Times New Roman" w:cs="Times New Roman"/>
          <w:b/>
          <w:sz w:val="24"/>
          <w:szCs w:val="24"/>
        </w:rPr>
      </w:pPr>
      <w:r w:rsidRPr="00855B14">
        <w:rPr>
          <w:rFonts w:ascii="Times New Roman" w:hAnsi="Times New Roman" w:cs="Times New Roman"/>
          <w:b/>
          <w:sz w:val="24"/>
          <w:szCs w:val="24"/>
          <w:u w:val="single"/>
        </w:rPr>
        <w:t>Exo 1</w:t>
      </w:r>
      <w:r w:rsidRPr="00855B14">
        <w:rPr>
          <w:rFonts w:ascii="Times New Roman" w:hAnsi="Times New Roman" w:cs="Times New Roman"/>
          <w:b/>
          <w:sz w:val="24"/>
          <w:szCs w:val="24"/>
        </w:rPr>
        <w:t> : On fournit les informations suivantes :</w:t>
      </w:r>
    </w:p>
    <w:p w14:paraId="3AAA67D9" w14:textId="77777777" w:rsidR="003C5174" w:rsidRPr="001E6761" w:rsidRDefault="003C5174" w:rsidP="003C5174">
      <w:pPr>
        <w:ind w:left="360"/>
        <w:rPr>
          <w:rFonts w:ascii="Times New Roman" w:hAnsi="Times New Roman" w:cs="Times New Roman"/>
          <w:sz w:val="24"/>
          <w:szCs w:val="24"/>
        </w:rPr>
      </w:pPr>
      <w:r w:rsidRPr="001E6761">
        <w:rPr>
          <w:rFonts w:ascii="Times New Roman" w:hAnsi="Times New Roman" w:cs="Times New Roman"/>
          <w:sz w:val="24"/>
          <w:szCs w:val="24"/>
        </w:rPr>
        <w:t>Bénéfices distribués</w:t>
      </w:r>
      <w:r>
        <w:rPr>
          <w:rFonts w:ascii="Times New Roman" w:hAnsi="Times New Roman" w:cs="Times New Roman"/>
          <w:sz w:val="24"/>
          <w:szCs w:val="24"/>
        </w:rPr>
        <w:t xml:space="preserve"> </w:t>
      </w:r>
      <w:r w:rsidRPr="001E6761">
        <w:rPr>
          <w:rFonts w:ascii="Times New Roman" w:hAnsi="Times New Roman" w:cs="Times New Roman"/>
          <w:sz w:val="24"/>
          <w:szCs w:val="24"/>
        </w:rPr>
        <w:t>= 600.000</w:t>
      </w:r>
      <w:r>
        <w:rPr>
          <w:rFonts w:ascii="Times New Roman" w:hAnsi="Times New Roman" w:cs="Times New Roman"/>
          <w:sz w:val="24"/>
          <w:szCs w:val="24"/>
        </w:rPr>
        <w:t xml:space="preserve"> F</w:t>
      </w:r>
      <w:r w:rsidRPr="001E6761">
        <w:rPr>
          <w:rFonts w:ascii="Times New Roman" w:hAnsi="Times New Roman" w:cs="Times New Roman"/>
          <w:sz w:val="24"/>
          <w:szCs w:val="24"/>
        </w:rPr>
        <w:t>; Amortissement</w:t>
      </w:r>
      <w:r>
        <w:rPr>
          <w:rFonts w:ascii="Times New Roman" w:hAnsi="Times New Roman" w:cs="Times New Roman"/>
          <w:sz w:val="24"/>
          <w:szCs w:val="24"/>
        </w:rPr>
        <w:t>s</w:t>
      </w:r>
      <w:r w:rsidRPr="001E67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E6761">
        <w:rPr>
          <w:rFonts w:ascii="Times New Roman" w:hAnsi="Times New Roman" w:cs="Times New Roman"/>
          <w:sz w:val="24"/>
          <w:szCs w:val="24"/>
        </w:rPr>
        <w:t>200.000</w:t>
      </w:r>
      <w:r>
        <w:rPr>
          <w:rFonts w:ascii="Times New Roman" w:hAnsi="Times New Roman" w:cs="Times New Roman"/>
          <w:sz w:val="24"/>
          <w:szCs w:val="24"/>
        </w:rPr>
        <w:t xml:space="preserve"> F</w:t>
      </w:r>
    </w:p>
    <w:p w14:paraId="365ECAB9" w14:textId="77777777" w:rsidR="003C5174" w:rsidRPr="00EF6C7E" w:rsidRDefault="003C5174" w:rsidP="003C5174">
      <w:pPr>
        <w:ind w:left="360"/>
        <w:rPr>
          <w:rFonts w:ascii="Times New Roman" w:hAnsi="Times New Roman" w:cs="Times New Roman"/>
          <w:sz w:val="24"/>
          <w:szCs w:val="24"/>
        </w:rPr>
      </w:pPr>
      <w:r w:rsidRPr="00EF6C7E">
        <w:rPr>
          <w:rFonts w:ascii="Times New Roman" w:hAnsi="Times New Roman" w:cs="Times New Roman"/>
          <w:sz w:val="24"/>
          <w:szCs w:val="24"/>
        </w:rPr>
        <w:t>Stock</w:t>
      </w:r>
      <w:r>
        <w:rPr>
          <w:rFonts w:ascii="Times New Roman" w:hAnsi="Times New Roman" w:cs="Times New Roman"/>
          <w:sz w:val="24"/>
          <w:szCs w:val="24"/>
        </w:rPr>
        <w:t>s =</w:t>
      </w:r>
      <w:r w:rsidRPr="00EF6C7E">
        <w:rPr>
          <w:rFonts w:ascii="Times New Roman" w:hAnsi="Times New Roman" w:cs="Times New Roman"/>
          <w:sz w:val="24"/>
          <w:szCs w:val="24"/>
        </w:rPr>
        <w:t xml:space="preserve"> 300</w:t>
      </w:r>
      <w:r>
        <w:rPr>
          <w:rFonts w:ascii="Times New Roman" w:hAnsi="Times New Roman" w:cs="Times New Roman"/>
          <w:sz w:val="24"/>
          <w:szCs w:val="24"/>
        </w:rPr>
        <w:t xml:space="preserve"> </w:t>
      </w:r>
      <w:r w:rsidRPr="00EF6C7E">
        <w:rPr>
          <w:rFonts w:ascii="Times New Roman" w:hAnsi="Times New Roman" w:cs="Times New Roman"/>
          <w:sz w:val="24"/>
          <w:szCs w:val="24"/>
        </w:rPr>
        <w:t>000</w:t>
      </w:r>
      <w:r>
        <w:rPr>
          <w:rFonts w:ascii="Times New Roman" w:hAnsi="Times New Roman" w:cs="Times New Roman"/>
          <w:sz w:val="24"/>
          <w:szCs w:val="24"/>
        </w:rPr>
        <w:t xml:space="preserve"> F </w:t>
      </w:r>
      <w:r w:rsidRPr="00EF6C7E">
        <w:rPr>
          <w:rFonts w:ascii="Times New Roman" w:hAnsi="Times New Roman" w:cs="Times New Roman"/>
          <w:sz w:val="24"/>
          <w:szCs w:val="24"/>
        </w:rPr>
        <w:t>; Résultat Net = 650.000</w:t>
      </w:r>
      <w:r>
        <w:rPr>
          <w:rFonts w:ascii="Times New Roman" w:hAnsi="Times New Roman" w:cs="Times New Roman"/>
          <w:sz w:val="24"/>
          <w:szCs w:val="24"/>
        </w:rPr>
        <w:t xml:space="preserve"> F</w:t>
      </w:r>
    </w:p>
    <w:p w14:paraId="6D93DB58" w14:textId="77777777" w:rsidR="003C5174" w:rsidRPr="005D1F00" w:rsidRDefault="003C5174" w:rsidP="003C5174">
      <w:pPr>
        <w:ind w:left="360"/>
        <w:rPr>
          <w:rFonts w:ascii="Times New Roman" w:hAnsi="Times New Roman" w:cs="Times New Roman"/>
          <w:sz w:val="24"/>
          <w:szCs w:val="24"/>
        </w:rPr>
      </w:pPr>
      <w:r w:rsidRPr="005D1F00">
        <w:rPr>
          <w:rFonts w:ascii="Times New Roman" w:hAnsi="Times New Roman" w:cs="Times New Roman"/>
          <w:sz w:val="24"/>
          <w:szCs w:val="24"/>
        </w:rPr>
        <w:lastRenderedPageBreak/>
        <w:t>AI = 800</w:t>
      </w:r>
      <w:r>
        <w:rPr>
          <w:rFonts w:ascii="Times New Roman" w:hAnsi="Times New Roman" w:cs="Times New Roman"/>
          <w:sz w:val="24"/>
          <w:szCs w:val="24"/>
        </w:rPr>
        <w:t xml:space="preserve"> </w:t>
      </w:r>
      <w:r w:rsidRPr="005D1F00">
        <w:rPr>
          <w:rFonts w:ascii="Times New Roman" w:hAnsi="Times New Roman" w:cs="Times New Roman"/>
          <w:sz w:val="24"/>
          <w:szCs w:val="24"/>
        </w:rPr>
        <w:t>000</w:t>
      </w:r>
      <w:r>
        <w:rPr>
          <w:rFonts w:ascii="Times New Roman" w:hAnsi="Times New Roman" w:cs="Times New Roman"/>
          <w:sz w:val="24"/>
          <w:szCs w:val="24"/>
        </w:rPr>
        <w:t xml:space="preserve"> F ; </w:t>
      </w:r>
      <w:r w:rsidRPr="005D1F00">
        <w:rPr>
          <w:rFonts w:ascii="Times New Roman" w:hAnsi="Times New Roman" w:cs="Times New Roman"/>
          <w:sz w:val="24"/>
          <w:szCs w:val="24"/>
        </w:rPr>
        <w:t xml:space="preserve"> </w:t>
      </w:r>
      <w:r w:rsidR="00ED6D99">
        <w:rPr>
          <w:rFonts w:ascii="Times New Roman" w:hAnsi="Times New Roman" w:cs="Times New Roman"/>
          <w:sz w:val="24"/>
          <w:szCs w:val="24"/>
        </w:rPr>
        <w:t>P</w:t>
      </w:r>
      <w:r w:rsidRPr="005D1F00">
        <w:rPr>
          <w:rFonts w:ascii="Times New Roman" w:hAnsi="Times New Roman" w:cs="Times New Roman"/>
          <w:sz w:val="24"/>
          <w:szCs w:val="24"/>
        </w:rPr>
        <w:t>rovision</w:t>
      </w:r>
      <w:r>
        <w:rPr>
          <w:rFonts w:ascii="Times New Roman" w:hAnsi="Times New Roman" w:cs="Times New Roman"/>
          <w:sz w:val="24"/>
          <w:szCs w:val="24"/>
        </w:rPr>
        <w:t>s</w:t>
      </w:r>
      <w:r w:rsidRPr="005D1F00">
        <w:rPr>
          <w:rFonts w:ascii="Times New Roman" w:hAnsi="Times New Roman" w:cs="Times New Roman"/>
          <w:sz w:val="24"/>
          <w:szCs w:val="24"/>
        </w:rPr>
        <w:t xml:space="preserve"> = 1</w:t>
      </w:r>
      <w:r>
        <w:rPr>
          <w:rFonts w:ascii="Times New Roman" w:hAnsi="Times New Roman" w:cs="Times New Roman"/>
          <w:sz w:val="24"/>
          <w:szCs w:val="24"/>
        </w:rPr>
        <w:t>.</w:t>
      </w:r>
      <w:r w:rsidRPr="005D1F00">
        <w:rPr>
          <w:rFonts w:ascii="Times New Roman" w:hAnsi="Times New Roman" w:cs="Times New Roman"/>
          <w:sz w:val="24"/>
          <w:szCs w:val="24"/>
        </w:rPr>
        <w:t>400</w:t>
      </w:r>
      <w:r>
        <w:rPr>
          <w:rFonts w:ascii="Times New Roman" w:hAnsi="Times New Roman" w:cs="Times New Roman"/>
          <w:sz w:val="24"/>
          <w:szCs w:val="24"/>
        </w:rPr>
        <w:t>.</w:t>
      </w:r>
      <w:r w:rsidRPr="005D1F00">
        <w:rPr>
          <w:rFonts w:ascii="Times New Roman" w:hAnsi="Times New Roman" w:cs="Times New Roman"/>
          <w:sz w:val="24"/>
          <w:szCs w:val="24"/>
        </w:rPr>
        <w:t>000</w:t>
      </w:r>
      <w:r>
        <w:rPr>
          <w:rFonts w:ascii="Times New Roman" w:hAnsi="Times New Roman" w:cs="Times New Roman"/>
          <w:sz w:val="24"/>
          <w:szCs w:val="24"/>
        </w:rPr>
        <w:t xml:space="preserve"> F</w:t>
      </w:r>
    </w:p>
    <w:p w14:paraId="5C52AB63" w14:textId="77777777" w:rsidR="003C5174" w:rsidRPr="005D1F00" w:rsidRDefault="003C5174" w:rsidP="003C5174">
      <w:pPr>
        <w:ind w:left="360"/>
        <w:rPr>
          <w:rFonts w:ascii="Times New Roman" w:hAnsi="Times New Roman" w:cs="Times New Roman"/>
          <w:sz w:val="24"/>
          <w:szCs w:val="24"/>
        </w:rPr>
      </w:pPr>
      <w:r w:rsidRPr="005D1F00">
        <w:rPr>
          <w:rFonts w:ascii="Times New Roman" w:hAnsi="Times New Roman" w:cs="Times New Roman"/>
          <w:sz w:val="24"/>
          <w:szCs w:val="24"/>
        </w:rPr>
        <w:t xml:space="preserve">Capitaux </w:t>
      </w:r>
      <w:r>
        <w:rPr>
          <w:rFonts w:ascii="Times New Roman" w:hAnsi="Times New Roman" w:cs="Times New Roman"/>
          <w:sz w:val="24"/>
          <w:szCs w:val="24"/>
        </w:rPr>
        <w:t>prop</w:t>
      </w:r>
      <w:r w:rsidRPr="005D1F00">
        <w:rPr>
          <w:rFonts w:ascii="Times New Roman" w:hAnsi="Times New Roman" w:cs="Times New Roman"/>
          <w:sz w:val="24"/>
          <w:szCs w:val="24"/>
        </w:rPr>
        <w:t>r</w:t>
      </w:r>
      <w:r>
        <w:rPr>
          <w:rFonts w:ascii="Times New Roman" w:hAnsi="Times New Roman" w:cs="Times New Roman"/>
          <w:sz w:val="24"/>
          <w:szCs w:val="24"/>
        </w:rPr>
        <w:t>es</w:t>
      </w:r>
      <w:r w:rsidRPr="005D1F00">
        <w:rPr>
          <w:rFonts w:ascii="Times New Roman" w:hAnsi="Times New Roman" w:cs="Times New Roman"/>
          <w:sz w:val="24"/>
          <w:szCs w:val="24"/>
        </w:rPr>
        <w:t xml:space="preserve"> = 2 050</w:t>
      </w:r>
      <w:r>
        <w:rPr>
          <w:rFonts w:ascii="Times New Roman" w:hAnsi="Times New Roman" w:cs="Times New Roman"/>
          <w:sz w:val="24"/>
          <w:szCs w:val="24"/>
        </w:rPr>
        <w:t> </w:t>
      </w:r>
      <w:r w:rsidRPr="005D1F00">
        <w:rPr>
          <w:rFonts w:ascii="Times New Roman" w:hAnsi="Times New Roman" w:cs="Times New Roman"/>
          <w:sz w:val="24"/>
          <w:szCs w:val="24"/>
        </w:rPr>
        <w:t>000</w:t>
      </w:r>
      <w:r>
        <w:rPr>
          <w:rFonts w:ascii="Times New Roman" w:hAnsi="Times New Roman" w:cs="Times New Roman"/>
          <w:sz w:val="24"/>
          <w:szCs w:val="24"/>
        </w:rPr>
        <w:t xml:space="preserve"> F</w:t>
      </w:r>
    </w:p>
    <w:p w14:paraId="6A85EEDF" w14:textId="77777777" w:rsidR="003C5174" w:rsidRDefault="003C5174" w:rsidP="003C5174">
      <w:pPr>
        <w:ind w:left="360"/>
        <w:rPr>
          <w:rFonts w:ascii="Times New Roman" w:hAnsi="Times New Roman" w:cs="Times New Roman"/>
          <w:sz w:val="24"/>
          <w:szCs w:val="24"/>
        </w:rPr>
      </w:pPr>
      <w:r>
        <w:rPr>
          <w:rFonts w:ascii="Times New Roman" w:hAnsi="Times New Roman" w:cs="Times New Roman"/>
          <w:sz w:val="24"/>
          <w:szCs w:val="24"/>
        </w:rPr>
        <w:t>Crédits accordés par les fournisseurs  = 90.000  F</w:t>
      </w:r>
    </w:p>
    <w:p w14:paraId="2F29CF28" w14:textId="77777777" w:rsidR="003C5174" w:rsidRDefault="003C5174" w:rsidP="003C5174">
      <w:pPr>
        <w:ind w:left="360"/>
        <w:rPr>
          <w:rFonts w:ascii="Times New Roman" w:hAnsi="Times New Roman" w:cs="Times New Roman"/>
          <w:sz w:val="24"/>
          <w:szCs w:val="24"/>
        </w:rPr>
      </w:pPr>
      <w:r>
        <w:rPr>
          <w:rFonts w:ascii="Times New Roman" w:hAnsi="Times New Roman" w:cs="Times New Roman"/>
          <w:sz w:val="24"/>
          <w:szCs w:val="24"/>
        </w:rPr>
        <w:t>Dettes financières = 1 200 000 F</w:t>
      </w:r>
    </w:p>
    <w:p w14:paraId="71FD0BD1" w14:textId="77777777" w:rsidR="003C5174" w:rsidRPr="005D1F00" w:rsidRDefault="003C5174" w:rsidP="003C5174">
      <w:pPr>
        <w:ind w:left="360"/>
        <w:rPr>
          <w:rFonts w:ascii="Times New Roman" w:hAnsi="Times New Roman" w:cs="Times New Roman"/>
          <w:sz w:val="24"/>
          <w:szCs w:val="24"/>
        </w:rPr>
      </w:pPr>
      <w:r>
        <w:rPr>
          <w:rFonts w:ascii="Times New Roman" w:hAnsi="Times New Roman" w:cs="Times New Roman"/>
          <w:sz w:val="24"/>
          <w:szCs w:val="24"/>
        </w:rPr>
        <w:t>Crédits accordés aux  clients = 140 000 F</w:t>
      </w:r>
    </w:p>
    <w:p w14:paraId="13BB4C69"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TAF : 1) Calculer la CAF et  l’autofinancement </w:t>
      </w:r>
    </w:p>
    <w:p w14:paraId="136F18D0"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2) Calculer le FRNG et le BFR </w:t>
      </w:r>
    </w:p>
    <w:p w14:paraId="28178DAD"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3) La trésorerie est-elle positive ? Négative ? Nulle ? </w:t>
      </w:r>
      <w:r w:rsidR="00EA4E79">
        <w:rPr>
          <w:rFonts w:ascii="Times New Roman" w:hAnsi="Times New Roman" w:cs="Times New Roman"/>
          <w:sz w:val="24"/>
          <w:szCs w:val="24"/>
        </w:rPr>
        <w:t>Interprétez le résultat.</w:t>
      </w:r>
    </w:p>
    <w:p w14:paraId="2AA2DC79" w14:textId="77777777" w:rsidR="003C5174" w:rsidRPr="00855B14" w:rsidRDefault="0010694F" w:rsidP="00F9780F">
      <w:pPr>
        <w:tabs>
          <w:tab w:val="left" w:pos="2336"/>
        </w:tabs>
        <w:rPr>
          <w:rFonts w:ascii="Times New Roman" w:hAnsi="Times New Roman" w:cs="Times New Roman"/>
          <w:b/>
          <w:sz w:val="24"/>
          <w:szCs w:val="24"/>
          <w:u w:val="single"/>
        </w:rPr>
      </w:pPr>
      <w:r>
        <w:rPr>
          <w:rFonts w:ascii="Times New Roman" w:hAnsi="Times New Roman" w:cs="Times New Roman"/>
          <w:b/>
          <w:sz w:val="24"/>
          <w:szCs w:val="24"/>
          <w:u w:val="single"/>
        </w:rPr>
        <w:t>TD</w:t>
      </w:r>
      <w:r w:rsidR="003C5174" w:rsidRPr="00855B14">
        <w:rPr>
          <w:rFonts w:ascii="Times New Roman" w:hAnsi="Times New Roman" w:cs="Times New Roman"/>
          <w:b/>
          <w:sz w:val="24"/>
          <w:szCs w:val="24"/>
          <w:u w:val="single"/>
        </w:rPr>
        <w:t xml:space="preserve"> 2</w:t>
      </w:r>
    </w:p>
    <w:p w14:paraId="44F0D164"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On vous fournit les informations suivantes :</w:t>
      </w:r>
    </w:p>
    <w:p w14:paraId="659DD573"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Amortissements = 150.000 F,   Stock = 1.500.000 F</w:t>
      </w:r>
    </w:p>
    <w:p w14:paraId="73127ABC"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Résultat Net = 325.000 F ;   Actif immobilisé = 750.000 F</w:t>
      </w:r>
    </w:p>
    <w:p w14:paraId="26FB75F6"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Provisions = 800.000 F ;  Capitaux propres = 1.300.000 F</w:t>
      </w:r>
    </w:p>
    <w:p w14:paraId="17E914FE"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Dividendes = 1.200.000 F ; Crédits accordés par les fournisseurs = 125.000 F</w:t>
      </w:r>
    </w:p>
    <w:p w14:paraId="63D717B5"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Crédits accordés </w:t>
      </w:r>
      <w:r w:rsidR="0010650D">
        <w:rPr>
          <w:rFonts w:ascii="Times New Roman" w:hAnsi="Times New Roman" w:cs="Times New Roman"/>
          <w:sz w:val="24"/>
          <w:szCs w:val="24"/>
        </w:rPr>
        <w:t>aux</w:t>
      </w:r>
      <w:r>
        <w:rPr>
          <w:rFonts w:ascii="Times New Roman" w:hAnsi="Times New Roman" w:cs="Times New Roman"/>
          <w:sz w:val="24"/>
          <w:szCs w:val="24"/>
        </w:rPr>
        <w:t xml:space="preserve"> clients = 390.000 F;  Dettes financières = 470.000 F</w:t>
      </w:r>
    </w:p>
    <w:p w14:paraId="4DB566E0"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TAF :</w:t>
      </w:r>
    </w:p>
    <w:p w14:paraId="43387D56"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1 Calculer la CAF. En déduire l’Autofinancement</w:t>
      </w:r>
    </w:p>
    <w:p w14:paraId="692D1D8A"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2. Calculez le  FRNG et le BFR</w:t>
      </w:r>
    </w:p>
    <w:p w14:paraId="02D3140C"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3. La T&gt;0 ? T&lt;0 ? T=</w:t>
      </w:r>
      <w:r w:rsidR="00663655">
        <w:rPr>
          <w:rFonts w:ascii="Times New Roman" w:hAnsi="Times New Roman" w:cs="Times New Roman"/>
          <w:sz w:val="24"/>
          <w:szCs w:val="24"/>
        </w:rPr>
        <w:t xml:space="preserve"> 0 ?  Interpréter le résultat.</w:t>
      </w:r>
    </w:p>
    <w:p w14:paraId="76B4CCD3" w14:textId="77777777" w:rsidR="003C5174" w:rsidRDefault="003C5174" w:rsidP="003C5174">
      <w:pPr>
        <w:rPr>
          <w:rFonts w:ascii="Times New Roman" w:hAnsi="Times New Roman" w:cs="Times New Roman"/>
          <w:sz w:val="24"/>
          <w:szCs w:val="24"/>
        </w:rPr>
      </w:pPr>
    </w:p>
    <w:p w14:paraId="1122AAE7" w14:textId="77777777" w:rsidR="003C5174" w:rsidRDefault="0010694F" w:rsidP="003C5174">
      <w:pPr>
        <w:ind w:left="360"/>
        <w:rPr>
          <w:rFonts w:ascii="Times New Roman" w:hAnsi="Times New Roman" w:cs="Times New Roman"/>
          <w:sz w:val="24"/>
          <w:szCs w:val="24"/>
        </w:rPr>
      </w:pPr>
      <w:r>
        <w:rPr>
          <w:rFonts w:ascii="Times New Roman" w:hAnsi="Times New Roman" w:cs="Times New Roman"/>
          <w:b/>
          <w:sz w:val="24"/>
          <w:szCs w:val="24"/>
          <w:u w:val="single"/>
        </w:rPr>
        <w:t>TD</w:t>
      </w:r>
      <w:r w:rsidR="003C5174" w:rsidRPr="00855B14">
        <w:rPr>
          <w:rFonts w:ascii="Times New Roman" w:hAnsi="Times New Roman" w:cs="Times New Roman"/>
          <w:b/>
          <w:sz w:val="24"/>
          <w:szCs w:val="24"/>
          <w:u w:val="single"/>
        </w:rPr>
        <w:t xml:space="preserve"> 3</w:t>
      </w:r>
      <w:r w:rsidR="003C5174" w:rsidRPr="00855B14">
        <w:rPr>
          <w:rFonts w:ascii="Times New Roman" w:hAnsi="Times New Roman" w:cs="Times New Roman"/>
          <w:b/>
          <w:sz w:val="24"/>
          <w:szCs w:val="24"/>
        </w:rPr>
        <w:t> : On fournit les informations suivantes</w:t>
      </w:r>
      <w:r w:rsidR="003C5174">
        <w:rPr>
          <w:rFonts w:ascii="Times New Roman" w:hAnsi="Times New Roman" w:cs="Times New Roman"/>
          <w:sz w:val="24"/>
          <w:szCs w:val="24"/>
        </w:rPr>
        <w:t> :</w:t>
      </w:r>
    </w:p>
    <w:p w14:paraId="7A0307DA" w14:textId="77777777" w:rsidR="003C5174" w:rsidRDefault="003C5174" w:rsidP="003C5174">
      <w:pPr>
        <w:tabs>
          <w:tab w:val="left" w:pos="5635"/>
        </w:tabs>
        <w:rPr>
          <w:rFonts w:ascii="Times New Roman" w:hAnsi="Times New Roman" w:cs="Times New Roman"/>
          <w:sz w:val="24"/>
          <w:szCs w:val="24"/>
        </w:rPr>
      </w:pPr>
      <w:r>
        <w:rPr>
          <w:rFonts w:ascii="Times New Roman" w:hAnsi="Times New Roman" w:cs="Times New Roman"/>
          <w:sz w:val="24"/>
          <w:szCs w:val="24"/>
        </w:rPr>
        <w:t>Amortissements = 400.000 F ; Stocks = 1 200 000 F ; RN = 80 000 F</w:t>
      </w:r>
      <w:r>
        <w:rPr>
          <w:rFonts w:ascii="Times New Roman" w:hAnsi="Times New Roman" w:cs="Times New Roman"/>
          <w:sz w:val="24"/>
          <w:szCs w:val="24"/>
        </w:rPr>
        <w:tab/>
      </w:r>
    </w:p>
    <w:p w14:paraId="61512F47"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Actifs immobilisés = 350.000 F ; Provisions = 125.000 F</w:t>
      </w:r>
    </w:p>
    <w:p w14:paraId="028FA504"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Capitaux propres = 1000.000 F ; Bénéfices distribués = 85000 F</w:t>
      </w:r>
    </w:p>
    <w:p w14:paraId="5BBA4558"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Crédits accordés par les fournisseurs = 425.000 F ; Dettes financières = 225.000 F</w:t>
      </w:r>
    </w:p>
    <w:p w14:paraId="14033856"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 xml:space="preserve">Crédits accordés </w:t>
      </w:r>
      <w:r w:rsidR="00D10DA9">
        <w:rPr>
          <w:rFonts w:ascii="Times New Roman" w:hAnsi="Times New Roman" w:cs="Times New Roman"/>
          <w:sz w:val="24"/>
          <w:szCs w:val="24"/>
        </w:rPr>
        <w:t>aux</w:t>
      </w:r>
      <w:r>
        <w:rPr>
          <w:rFonts w:ascii="Times New Roman" w:hAnsi="Times New Roman" w:cs="Times New Roman"/>
          <w:sz w:val="24"/>
          <w:szCs w:val="24"/>
        </w:rPr>
        <w:t xml:space="preserve"> clients = 100.000 F</w:t>
      </w:r>
    </w:p>
    <w:p w14:paraId="5A94ECEB"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TAF : Calculez</w:t>
      </w:r>
    </w:p>
    <w:p w14:paraId="1E51DD9F"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lastRenderedPageBreak/>
        <w:t>1La CAF. En déduire l’Autofinancement</w:t>
      </w:r>
    </w:p>
    <w:p w14:paraId="45AFE5F7" w14:textId="77777777" w:rsidR="003C5174" w:rsidRDefault="003C5174" w:rsidP="003C5174">
      <w:pPr>
        <w:rPr>
          <w:rFonts w:ascii="Times New Roman" w:hAnsi="Times New Roman" w:cs="Times New Roman"/>
          <w:sz w:val="24"/>
          <w:szCs w:val="24"/>
        </w:rPr>
      </w:pPr>
      <w:r>
        <w:rPr>
          <w:rFonts w:ascii="Times New Roman" w:hAnsi="Times New Roman" w:cs="Times New Roman"/>
          <w:sz w:val="24"/>
          <w:szCs w:val="24"/>
        </w:rPr>
        <w:t>2. Le FRNG et le BFR</w:t>
      </w:r>
    </w:p>
    <w:p w14:paraId="08162055" w14:textId="7335C08D" w:rsidR="00023CFA" w:rsidRDefault="003C5174" w:rsidP="003C5174">
      <w:r>
        <w:rPr>
          <w:rFonts w:ascii="Times New Roman" w:hAnsi="Times New Roman" w:cs="Times New Roman"/>
          <w:sz w:val="24"/>
          <w:szCs w:val="24"/>
        </w:rPr>
        <w:t>3. La  T&gt; 0 ? T&lt; 0 ? T= 0 ?</w:t>
      </w:r>
      <w:r w:rsidR="0043469C">
        <w:rPr>
          <w:rFonts w:ascii="Times New Roman" w:hAnsi="Times New Roman" w:cs="Times New Roman"/>
          <w:sz w:val="24"/>
          <w:szCs w:val="24"/>
        </w:rPr>
        <w:t>Interpréter le résultat.</w:t>
      </w:r>
    </w:p>
    <w:sectPr w:rsidR="00023C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3BB"/>
    <w:multiLevelType w:val="hybridMultilevel"/>
    <w:tmpl w:val="8E62BD46"/>
    <w:lvl w:ilvl="0" w:tplc="518E4A3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78816FF"/>
    <w:multiLevelType w:val="hybridMultilevel"/>
    <w:tmpl w:val="0016A982"/>
    <w:lvl w:ilvl="0" w:tplc="5D44839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C792E64"/>
    <w:multiLevelType w:val="hybridMultilevel"/>
    <w:tmpl w:val="B8A891FA"/>
    <w:lvl w:ilvl="0" w:tplc="CD92EDE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8976C38"/>
    <w:multiLevelType w:val="hybridMultilevel"/>
    <w:tmpl w:val="2AC645B2"/>
    <w:lvl w:ilvl="0" w:tplc="1A20C1BC">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FB6F4F"/>
    <w:multiLevelType w:val="hybridMultilevel"/>
    <w:tmpl w:val="CC347AB6"/>
    <w:lvl w:ilvl="0" w:tplc="C268AEC8">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673376"/>
    <w:multiLevelType w:val="hybridMultilevel"/>
    <w:tmpl w:val="63982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B8F79D0"/>
    <w:multiLevelType w:val="hybridMultilevel"/>
    <w:tmpl w:val="371EECAC"/>
    <w:lvl w:ilvl="0" w:tplc="040C0001">
      <w:start w:val="1"/>
      <w:numFmt w:val="bullet"/>
      <w:lvlText w:val=""/>
      <w:lvlJc w:val="left"/>
      <w:pPr>
        <w:ind w:left="1083" w:hanging="360"/>
      </w:pPr>
      <w:rPr>
        <w:rFonts w:ascii="Symbol" w:hAnsi="Symbol"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7" w15:restartNumberingAfterBreak="0">
    <w:nsid w:val="7DFE5FA5"/>
    <w:multiLevelType w:val="hybridMultilevel"/>
    <w:tmpl w:val="0FEAC8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95691351">
    <w:abstractNumId w:val="3"/>
  </w:num>
  <w:num w:numId="2" w16cid:durableId="87309657">
    <w:abstractNumId w:val="1"/>
  </w:num>
  <w:num w:numId="3" w16cid:durableId="1692225652">
    <w:abstractNumId w:val="5"/>
  </w:num>
  <w:num w:numId="4" w16cid:durableId="1195581357">
    <w:abstractNumId w:val="4"/>
  </w:num>
  <w:num w:numId="5" w16cid:durableId="1925412618">
    <w:abstractNumId w:val="0"/>
  </w:num>
  <w:num w:numId="6" w16cid:durableId="1618682718">
    <w:abstractNumId w:val="2"/>
  </w:num>
  <w:num w:numId="7" w16cid:durableId="1811166192">
    <w:abstractNumId w:val="6"/>
  </w:num>
  <w:num w:numId="8" w16cid:durableId="12782934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174"/>
    <w:rsid w:val="00016086"/>
    <w:rsid w:val="00023CFA"/>
    <w:rsid w:val="00071C28"/>
    <w:rsid w:val="00075C93"/>
    <w:rsid w:val="0010650D"/>
    <w:rsid w:val="0010694F"/>
    <w:rsid w:val="00142DE2"/>
    <w:rsid w:val="00190229"/>
    <w:rsid w:val="001A2638"/>
    <w:rsid w:val="00212A80"/>
    <w:rsid w:val="003C5174"/>
    <w:rsid w:val="0043469C"/>
    <w:rsid w:val="004A4C9E"/>
    <w:rsid w:val="00595BD8"/>
    <w:rsid w:val="005C2138"/>
    <w:rsid w:val="005C6D1B"/>
    <w:rsid w:val="005E7409"/>
    <w:rsid w:val="005F1F61"/>
    <w:rsid w:val="00623B32"/>
    <w:rsid w:val="00663655"/>
    <w:rsid w:val="006E23DA"/>
    <w:rsid w:val="007D5084"/>
    <w:rsid w:val="008C78D6"/>
    <w:rsid w:val="009F0A0E"/>
    <w:rsid w:val="00AC1F79"/>
    <w:rsid w:val="00B14DC5"/>
    <w:rsid w:val="00B179C2"/>
    <w:rsid w:val="00B829BC"/>
    <w:rsid w:val="00B94536"/>
    <w:rsid w:val="00BE1F98"/>
    <w:rsid w:val="00BF332F"/>
    <w:rsid w:val="00D10DA9"/>
    <w:rsid w:val="00EA4E79"/>
    <w:rsid w:val="00ED6D99"/>
    <w:rsid w:val="00F978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FC31"/>
  <w15:chartTrackingRefBased/>
  <w15:docId w15:val="{584E1972-978A-4F0A-A41B-CA0CD420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74"/>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C5174"/>
    <w:pPr>
      <w:ind w:left="720"/>
      <w:contextualSpacing/>
    </w:pPr>
  </w:style>
  <w:style w:type="table" w:styleId="Grilledutableau">
    <w:name w:val="Table Grid"/>
    <w:basedOn w:val="TableauNormal"/>
    <w:uiPriority w:val="59"/>
    <w:rsid w:val="003C5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7</Pages>
  <Words>1632</Words>
  <Characters>8981</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M.DIAW</dc:creator>
  <cp:keywords/>
  <dc:description/>
  <cp:lastModifiedBy>diaw</cp:lastModifiedBy>
  <cp:revision>34</cp:revision>
  <dcterms:created xsi:type="dcterms:W3CDTF">2017-11-15T15:55:00Z</dcterms:created>
  <dcterms:modified xsi:type="dcterms:W3CDTF">2024-01-05T09:15:00Z</dcterms:modified>
</cp:coreProperties>
</file>