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6"/>
        </w:rPr>
        <w:t>RÉPUBLIQUE DU SÉNÉGAL</w:t>
        <w:br/>
      </w:r>
      <w:r>
        <w:rPr>
          <w:rFonts w:ascii="Calibri" w:hAnsi="Calibri"/>
          <w:i/>
          <w:sz w:val="21"/>
        </w:rPr>
        <w:t>Un Peuple - Un But - Une Foi</w:t>
        <w:br/>
      </w:r>
      <w:r>
        <w:rPr>
          <w:rFonts w:ascii="Calibri" w:hAnsi="Calibri"/>
          <w:sz w:val="21"/>
        </w:rPr>
        <w:t>Ministère de l’Enseignement Supérieur, de la Recherche et de l’Innovation</w:t>
        <w:br/>
        <w:t>Direction de l’Enseignement Supérieur Privé</w:t>
        <w:br/>
      </w:r>
      <w:r>
        <w:rPr>
          <w:rFonts w:ascii="Calibri" w:hAnsi="Calibri"/>
          <w:b/>
          <w:color w:val="1B365D"/>
          <w:sz w:val="28"/>
        </w:rPr>
        <w:t>INSTITUT SUPÉRIEUR D’INFORMATIQUE (ISI)</w:t>
        <w:br/>
        <w:br/>
      </w:r>
    </w:p>
    <w:tbl>
      <w:tblPr>
        <w:tblW w:type="auto" w:w="0"/>
        <w:jc w:val="center"/>
        <w:tblLook w:firstColumn="1" w:firstRow="1" w:lastColumn="0" w:lastRow="0" w:noHBand="0" w:noVBand="1" w:val="04A0"/>
      </w:tblPr>
      <w:tblGrid>
        <w:gridCol w:w="9360"/>
      </w:tblGrid>
      <w:tr>
        <w:tc>
          <w:tcPr>
            <w:tcW w:type="dxa" w:w="9360"/>
            <w:shd w:fill="F9FAFC"/>
            <w:tcBorders>
              <w:left w:val="single" w:sz="18" w:space="0" w:color="1F4E78"/>
              <w:right w:val="single" w:sz="18" w:space="0" w:color="1F4E78"/>
              <w:top w:val="single" w:sz="6" w:space="0" w:color="1F4E78"/>
              <w:bottom w:val="single" w:sz="6" w:space="0" w:color="1F4E78"/>
            </w:tcBorders>
          </w:tcPr>
          <w:p>
            <w:pPr>
              <w:spacing w:before="240" w:after="240"/>
              <w:jc w:val="center"/>
            </w:pPr>
            <w:r>
              <w:rPr>
                <w:b/>
                <w:color w:val="1B365D"/>
                <w:sz w:val="28"/>
              </w:rPr>
              <w:t>MÉMOIRE DE FIN DE CYCLE</w:t>
              <w:br/>
            </w:r>
            <w:r>
              <w:rPr>
                <w:b/>
                <w:sz w:val="22"/>
              </w:rPr>
              <w:t>POUR L’OBTENTION DU DIPLÔME DE BTS EN INFORMATIQUE DE GESTION</w:t>
              <w:br/>
              <w:br/>
            </w:r>
            <w:r>
              <w:rPr>
                <w:b/>
                <w:i/>
                <w:color w:val="2E75B6"/>
                <w:sz w:val="24"/>
              </w:rPr>
              <w:t>Sujet : Étude, conception et mise en œuvre d'une plateforme digitale de gestion et de publication immobilière avec module locatif automatisé : Cas de Immo Prestige</w:t>
            </w:r>
          </w:p>
        </w:tc>
      </w:tr>
    </w:tbl>
    <w:p>
      <w:pPr>
        <w:spacing w:before="480"/>
      </w:pPr>
    </w:p>
    <w:tbl>
      <w:tblPr>
        <w:tblW w:type="auto" w:w="0"/>
        <w:jc w:val="center"/>
        <w:tblLook w:firstColumn="1" w:firstRow="1" w:lastColumn="0" w:lastRow="0" w:noHBand="0" w:noVBand="1" w:val="04A0"/>
      </w:tblPr>
      <w:tblGrid>
        <w:gridCol w:w="4680"/>
        <w:gridCol w:w="4680"/>
      </w:tblGrid>
      <w:tr>
        <w:tc>
          <w:tcPr>
            <w:tcW w:type="dxa" w:w="4680"/>
          </w:tcPr>
          <w:p>
            <w:pPr>
              <w:spacing w:after="80"/>
            </w:pPr>
            <w:r>
              <w:rPr>
                <w:b/>
                <w:sz w:val="22"/>
              </w:rPr>
              <w:t>Présenté et soutenu par :</w:t>
              <w:br/>
            </w:r>
            <w:r>
              <w:rPr>
                <w:sz w:val="22"/>
              </w:rPr>
              <w:t>Étudiant Immo Prestige</w:t>
              <w:br/>
              <w:t>(BTS Informatique de Gestion)</w:t>
            </w:r>
          </w:p>
        </w:tc>
        <w:tc>
          <w:tcPr>
            <w:tcW w:type="dxa" w:w="4680"/>
          </w:tcPr>
          <w:p>
            <w:pPr>
              <w:spacing w:after="80"/>
              <w:jc w:val="right"/>
            </w:pPr>
            <w:r>
              <w:rPr>
                <w:b/>
                <w:sz w:val="22"/>
              </w:rPr>
              <w:t>Encadré par :</w:t>
              <w:br/>
            </w:r>
            <w:r>
              <w:rPr>
                <w:sz w:val="22"/>
              </w:rPr>
              <w:t>M. Moustapha DER</w:t>
              <w:br/>
              <w:t>Professeur Encadreur</w:t>
            </w:r>
          </w:p>
        </w:tc>
      </w:tr>
    </w:tbl>
    <w:p>
      <w:pPr>
        <w:spacing w:before="720"/>
        <w:jc w:val="center"/>
      </w:pPr>
      <w:r>
        <w:rPr>
          <w:b/>
          <w:sz w:val="22"/>
        </w:rPr>
        <w:t>Année académique 2024-2025</w:t>
      </w:r>
    </w:p>
    <w:p>
      <w:r>
        <w:br w:type="page"/>
      </w:r>
    </w:p>
    <w:p>
      <w:pPr>
        <w:keepNext/>
        <w:spacing w:before="360" w:after="160"/>
      </w:pPr>
      <w:r>
        <w:rPr>
          <w:rFonts w:ascii="Calibri" w:hAnsi="Calibri"/>
          <w:b/>
          <w:color w:val="1B365D"/>
          <w:sz w:val="32"/>
        </w:rPr>
        <w:t>Dédicaces</w:t>
      </w:r>
    </w:p>
    <w:p>
      <w:pPr>
        <w:spacing w:after="120" w:line="276" w:lineRule="auto"/>
      </w:pPr>
      <w:r>
        <w:rPr>
          <w:rFonts w:ascii="Calibri" w:hAnsi="Calibri"/>
          <w:color w:val="262626"/>
          <w:sz w:val="22"/>
        </w:rPr>
        <w:t>Je dédie ce modeste ouvrage avec toute ma reconnaissance et mon affection profonde :</w:t>
      </w:r>
    </w:p>
    <w:p>
      <w:pPr>
        <w:pStyle w:val="ListBullet"/>
        <w:spacing w:after="80" w:line="276" w:lineRule="auto"/>
      </w:pPr>
      <w:r>
        <w:rPr>
          <w:rFonts w:ascii="Calibri" w:hAnsi="Calibri"/>
          <w:b/>
          <w:color w:val="262626"/>
          <w:sz w:val="21"/>
        </w:rPr>
        <w:t xml:space="preserve">❖ À mes chers Parents : </w:t>
      </w:r>
      <w:r>
        <w:rPr>
          <w:rFonts w:ascii="Calibri" w:hAnsi="Calibri"/>
          <w:color w:val="262626"/>
          <w:sz w:val="21"/>
        </w:rPr>
        <w:t>Leur amour inconditionnel, leurs prières constantes, leurs sacrifices inestimables et leurs encouragements de chaque instant ont été le phare qui a éclairé mon parcours académique et personnel. Que ce travail soit le témoignage de ma profonde gratitude et de ma fierté d'être leur enfant.</w:t>
      </w:r>
    </w:p>
    <w:p>
      <w:pPr>
        <w:pStyle w:val="ListBullet"/>
        <w:spacing w:after="80" w:line="276" w:lineRule="auto"/>
      </w:pPr>
      <w:r>
        <w:rPr>
          <w:rFonts w:ascii="Calibri" w:hAnsi="Calibri"/>
          <w:b/>
          <w:color w:val="262626"/>
          <w:sz w:val="21"/>
        </w:rPr>
        <w:t xml:space="preserve">❖ À mes Frères : </w:t>
      </w:r>
      <w:r>
        <w:rPr>
          <w:rFonts w:ascii="Calibri" w:hAnsi="Calibri"/>
          <w:color w:val="262626"/>
          <w:sz w:val="21"/>
        </w:rPr>
        <w:t>Pour leur soutien fraternel indéfectible, leur présence rassurante, nos partages et notre complicité au quotidien. Merci d'être une source constante de motivation et de force.</w:t>
      </w:r>
    </w:p>
    <w:p>
      <w:pPr>
        <w:pStyle w:val="ListBullet"/>
        <w:spacing w:after="80" w:line="276" w:lineRule="auto"/>
      </w:pPr>
      <w:r>
        <w:rPr>
          <w:rFonts w:ascii="Calibri" w:hAnsi="Calibri"/>
          <w:b/>
          <w:color w:val="262626"/>
          <w:sz w:val="21"/>
        </w:rPr>
        <w:t xml:space="preserve">❖ À mes Camarades de classe et Amis : </w:t>
      </w:r>
      <w:r>
        <w:rPr>
          <w:rFonts w:ascii="Calibri" w:hAnsi="Calibri"/>
          <w:color w:val="262626"/>
          <w:sz w:val="21"/>
        </w:rPr>
        <w:t>Avec qui j'ai partagé des moments inoubliables d'apprentissage, d'effort, de rigueur et d'entraide tout au long de cette formation à l'Institut Supérieur d'Informatique. À cette future génération de professionnels et de camarades de promotion qui continuent de cheminer ensemble avec passion dans la quête du savoir et de l'excellence informatique.</w:t>
      </w:r>
    </w:p>
    <w:p>
      <w:pPr>
        <w:keepNext/>
        <w:spacing w:before="360" w:after="160"/>
      </w:pPr>
      <w:r>
        <w:rPr>
          <w:rFonts w:ascii="Calibri" w:hAnsi="Calibri"/>
          <w:b/>
          <w:color w:val="1B365D"/>
          <w:sz w:val="32"/>
        </w:rPr>
        <w:t>Remerciements</w:t>
      </w:r>
    </w:p>
    <w:p>
      <w:pPr>
        <w:spacing w:after="120" w:line="276" w:lineRule="auto"/>
      </w:pPr>
      <w:r>
        <w:rPr>
          <w:rFonts w:ascii="Calibri" w:hAnsi="Calibri"/>
          <w:color w:val="262626"/>
          <w:sz w:val="22"/>
        </w:rPr>
        <w:t>Nous tenons avant tout à rendre grâce à DIEU le Tout-Puissant et Miséricordieux, qui nous a accordé la santé, la force, la patience et la claire vision indispensables pour accomplir ce travail d'étude et de conception.</w:t>
      </w:r>
    </w:p>
    <w:p>
      <w:pPr>
        <w:spacing w:after="120" w:line="276" w:lineRule="auto"/>
      </w:pPr>
      <w:r>
        <w:rPr>
          <w:rFonts w:ascii="Calibri" w:hAnsi="Calibri"/>
          <w:color w:val="262626"/>
          <w:sz w:val="22"/>
        </w:rPr>
        <w:t>Nous exprimons notre profonde gratitude et nos remerciements sincères à :</w:t>
      </w:r>
    </w:p>
    <w:p>
      <w:pPr>
        <w:pStyle w:val="ListBullet"/>
        <w:spacing w:after="80" w:line="276" w:lineRule="auto"/>
      </w:pPr>
      <w:r>
        <w:rPr>
          <w:rFonts w:ascii="Calibri" w:hAnsi="Calibri"/>
          <w:b/>
          <w:color w:val="262626"/>
          <w:sz w:val="21"/>
        </w:rPr>
        <w:t xml:space="preserve">❖ Notre encadreur, M. Moustapha DER : </w:t>
      </w:r>
      <w:r>
        <w:rPr>
          <w:rFonts w:ascii="Calibri" w:hAnsi="Calibri"/>
          <w:color w:val="262626"/>
          <w:sz w:val="21"/>
        </w:rPr>
        <w:t>Pour sa disponibilité, sa rigueur scientifique, ses conseils avisés et son accompagnement précieux tout au long de la réalisation de ce mémoire.</w:t>
      </w:r>
    </w:p>
    <w:p>
      <w:pPr>
        <w:pStyle w:val="ListBullet"/>
        <w:spacing w:after="80" w:line="276" w:lineRule="auto"/>
      </w:pPr>
      <w:r>
        <w:rPr>
          <w:rFonts w:ascii="Calibri" w:hAnsi="Calibri"/>
          <w:b/>
          <w:color w:val="262626"/>
          <w:sz w:val="21"/>
        </w:rPr>
        <w:t xml:space="preserve">❖ Mme Ndack GUEYE : </w:t>
      </w:r>
      <w:r>
        <w:rPr>
          <w:rFonts w:ascii="Calibri" w:hAnsi="Calibri"/>
          <w:color w:val="262626"/>
          <w:sz w:val="21"/>
        </w:rPr>
        <w:t>Pour son encadrement attentif et son soutien constant.</w:t>
      </w:r>
    </w:p>
    <w:p>
      <w:pPr>
        <w:pStyle w:val="ListBullet"/>
        <w:spacing w:after="80" w:line="276" w:lineRule="auto"/>
      </w:pPr>
      <w:r>
        <w:rPr>
          <w:rFonts w:ascii="Calibri" w:hAnsi="Calibri"/>
          <w:b/>
          <w:color w:val="262626"/>
          <w:sz w:val="21"/>
        </w:rPr>
        <w:t xml:space="preserve">❖ Tout le corps professoral et l'administration de l'Institut Supérieur d'Informatique (ISI) : </w:t>
      </w:r>
      <w:r>
        <w:rPr>
          <w:rFonts w:ascii="Calibri" w:hAnsi="Calibri"/>
          <w:color w:val="262626"/>
          <w:sz w:val="21"/>
        </w:rPr>
        <w:t>Pour la qualité de l'enseignement dispensé, leur transmission du savoir-faire technique et leur engagement à former des techniciens et ingénieurs informaticiens compétents et accomplis.</w:t>
      </w:r>
    </w:p>
    <w:p>
      <w:pPr>
        <w:pStyle w:val="ListBullet"/>
        <w:spacing w:after="80" w:line="276" w:lineRule="auto"/>
      </w:pPr>
      <w:r>
        <w:rPr>
          <w:rFonts w:ascii="Calibri" w:hAnsi="Calibri"/>
          <w:b/>
          <w:color w:val="262626"/>
          <w:sz w:val="21"/>
        </w:rPr>
        <w:t xml:space="preserve">❖ Ma famille, mes frères et mes camarades de classe : </w:t>
      </w:r>
      <w:r>
        <w:rPr>
          <w:rFonts w:ascii="Calibri" w:hAnsi="Calibri"/>
          <w:color w:val="262626"/>
          <w:sz w:val="21"/>
        </w:rPr>
        <w:t>Pour leurs encouragements et leur soutien moral inestimable.</w:t>
      </w:r>
    </w:p>
    <w:p>
      <w:pPr>
        <w:keepNext/>
        <w:spacing w:before="360" w:after="160"/>
      </w:pPr>
      <w:r>
        <w:rPr>
          <w:rFonts w:ascii="Calibri" w:hAnsi="Calibri"/>
          <w:b/>
          <w:color w:val="1B365D"/>
          <w:sz w:val="32"/>
        </w:rPr>
        <w:t>Avant-propos</w:t>
      </w:r>
    </w:p>
    <w:p>
      <w:pPr>
        <w:spacing w:after="120" w:line="276" w:lineRule="auto"/>
      </w:pPr>
      <w:r>
        <w:rPr>
          <w:rFonts w:ascii="Calibri" w:hAnsi="Calibri"/>
          <w:color w:val="262626"/>
          <w:sz w:val="22"/>
        </w:rPr>
        <w:t>Le Brevet de Technicien Supérieur (BTS) en Informatique de Gestion dispensé à l'Institut Supérieur d'Informatique (ISI) est un diplôme d'État qui sanctionne deux années de formation professionnelle théorique et pratique, couronnées par la soutenance d'un mémoire de projet de fin d'études.</w:t>
      </w:r>
    </w:p>
    <w:p>
      <w:pPr>
        <w:spacing w:after="120" w:line="276" w:lineRule="auto"/>
      </w:pPr>
      <w:r>
        <w:rPr>
          <w:rFonts w:ascii="Calibri" w:hAnsi="Calibri"/>
          <w:color w:val="262626"/>
          <w:sz w:val="22"/>
        </w:rPr>
        <w:t>L'objectif fondamental de cette formation hautement qualifiante est d'armer les apprenants de compétences solides en génie logiciel et analyse des systèmes d'information, leur permettant de :</w:t>
      </w:r>
    </w:p>
    <w:p>
      <w:pPr>
        <w:pStyle w:val="ListBullet"/>
        <w:spacing w:after="80" w:line="276" w:lineRule="auto"/>
      </w:pPr>
      <w:r>
        <w:rPr>
          <w:rFonts w:ascii="Calibri" w:hAnsi="Calibri"/>
          <w:b/>
          <w:color w:val="262626"/>
          <w:sz w:val="21"/>
        </w:rPr>
        <w:t xml:space="preserve">➢ </w:t>
      </w:r>
      <w:r>
        <w:rPr>
          <w:rFonts w:ascii="Calibri" w:hAnsi="Calibri"/>
          <w:color w:val="262626"/>
          <w:sz w:val="21"/>
        </w:rPr>
        <w:t>Appréhender rapidement et avec précision les besoins opérationnels des organisations et des utilisateurs dans le domaine de la gestion administrative, financière et commerciale.</w:t>
      </w:r>
    </w:p>
    <w:p>
      <w:pPr>
        <w:pStyle w:val="ListBullet"/>
        <w:spacing w:after="80" w:line="276" w:lineRule="auto"/>
      </w:pPr>
      <w:r>
        <w:rPr>
          <w:rFonts w:ascii="Calibri" w:hAnsi="Calibri"/>
          <w:b/>
          <w:color w:val="262626"/>
          <w:sz w:val="21"/>
        </w:rPr>
        <w:t xml:space="preserve">➢ </w:t>
      </w:r>
      <w:r>
        <w:rPr>
          <w:rFonts w:ascii="Calibri" w:hAnsi="Calibri"/>
          <w:color w:val="262626"/>
          <w:sz w:val="21"/>
        </w:rPr>
        <w:t>Concevoir et développer des applications informatiques modernes, robustes et évolutives, en maîtrisant tout le cycle de vie logiciel (de l'analyse des exigences à la mise en production).</w:t>
      </w:r>
    </w:p>
    <w:p>
      <w:pPr>
        <w:pStyle w:val="ListBullet"/>
        <w:spacing w:after="80" w:line="276" w:lineRule="auto"/>
      </w:pPr>
      <w:r>
        <w:rPr>
          <w:rFonts w:ascii="Calibri" w:hAnsi="Calibri"/>
          <w:b/>
          <w:color w:val="262626"/>
          <w:sz w:val="21"/>
        </w:rPr>
        <w:t xml:space="preserve">➢ </w:t>
      </w:r>
      <w:r>
        <w:rPr>
          <w:rFonts w:ascii="Calibri" w:hAnsi="Calibri"/>
          <w:color w:val="262626"/>
          <w:sz w:val="21"/>
        </w:rPr>
        <w:t>Assurer la modélisation des données, l'architecture logicielle, ainsi que l'assistance et la formation destinées aux utilisateurs finaux.</w:t>
      </w:r>
    </w:p>
    <w:p>
      <w:pPr>
        <w:spacing w:after="120" w:line="276" w:lineRule="auto"/>
      </w:pPr>
      <w:r>
        <w:rPr>
          <w:rFonts w:ascii="Calibri" w:hAnsi="Calibri"/>
          <w:color w:val="262626"/>
          <w:sz w:val="22"/>
        </w:rPr>
        <w:t>Le présent document constitue le mémoire de projet de fin d'études qui concrétise l'application des connaissances acquises. Il porte sur l'étude, la conception, la modélisation et la mise en œuvre de la plateforme Immo Prestige, une solution globale de publication d'annonces et de gestion locative immobilière automatisée.</w:t>
      </w:r>
    </w:p>
    <w:p>
      <w:pPr>
        <w:keepNext/>
        <w:spacing w:before="360" w:after="160"/>
      </w:pPr>
      <w:r>
        <w:rPr>
          <w:rFonts w:ascii="Calibri" w:hAnsi="Calibri"/>
          <w:b/>
          <w:color w:val="1B365D"/>
          <w:sz w:val="32"/>
        </w:rPr>
        <w:t>Introduction</w:t>
      </w:r>
    </w:p>
    <w:p>
      <w:pPr>
        <w:spacing w:after="120" w:line="276" w:lineRule="auto"/>
      </w:pPr>
      <w:r>
        <w:rPr>
          <w:rFonts w:ascii="Calibri" w:hAnsi="Calibri"/>
          <w:color w:val="262626"/>
          <w:sz w:val="22"/>
        </w:rPr>
        <w:t>L'informatique et les technologies de l'information et de la communication (TIC) constituent sans conteste l'un des moteurs majeurs des transformations économiques et sociétales du XXIe siècle. De la gestion d'entreprise aux activités quotidiennes, aucun secteur n'échappe à la nécessité impérieuse de digitaliser ses processus pour gagner en efficacité, en transparence et en rapidité.</w:t>
      </w:r>
    </w:p>
    <w:p>
      <w:pPr>
        <w:spacing w:after="120" w:line="276" w:lineRule="auto"/>
      </w:pPr>
      <w:r>
        <w:rPr>
          <w:rFonts w:ascii="Calibri" w:hAnsi="Calibri"/>
          <w:color w:val="262626"/>
          <w:sz w:val="22"/>
        </w:rPr>
        <w:t>Cependant, dans plusieurs secteurs clés au Sénégal, et particulièrement dans le secteur immobilier, la transformation numérique reste encore partielle. La recherche de logements, la publication des annonces par les agences, la communication entre bailleurs et locataires, ainsi que le suivi des contrats de bail et l'encaissement des loyers reposent encore très largement sur des démarches manuelles, informelles ou dispersées.</w:t>
      </w:r>
    </w:p>
    <w:p>
      <w:pPr>
        <w:spacing w:after="120" w:line="276" w:lineRule="auto"/>
      </w:pPr>
      <w:r>
        <w:rPr>
          <w:rFonts w:ascii="Calibri" w:hAnsi="Calibri"/>
          <w:color w:val="262626"/>
          <w:sz w:val="22"/>
        </w:rPr>
        <w:t>Face à ce constat, le projet Immo Prestige apporte une réponse globale et innovante. Il s'agit d'une plateforme web et mobile complète permettant non seulement la vitrine et la publication d'annonces immobilières haut de gamme, mais assurant également la numérisation intégrale du cycle de gestion locative : candidatures, élaboration des baux, signature électronique, appels d'échéances mensuels et paiements sécurisés par Mobile Money via PayDunya, ainsi que la gestion des incidents de maintenance.</w:t>
      </w:r>
    </w:p>
    <w:p>
      <w:pPr>
        <w:spacing w:after="120" w:line="276" w:lineRule="auto"/>
      </w:pPr>
      <w:r>
        <w:rPr>
          <w:rFonts w:ascii="Calibri" w:hAnsi="Calibri"/>
          <w:color w:val="262626"/>
          <w:sz w:val="22"/>
        </w:rPr>
        <w:t>Pour mener à bien cette étude, notre démarche s'articule en deux grandes parties :</w:t>
      </w:r>
    </w:p>
    <w:p>
      <w:pPr>
        <w:pStyle w:val="ListBullet"/>
        <w:spacing w:after="80" w:line="276" w:lineRule="auto"/>
      </w:pPr>
      <w:r>
        <w:rPr>
          <w:rFonts w:ascii="Calibri" w:hAnsi="Calibri"/>
          <w:b/>
          <w:color w:val="262626"/>
          <w:sz w:val="21"/>
        </w:rPr>
        <w:t xml:space="preserve">1. La Première Partie : Étude Préalable et Analyse du Socle Existant — </w:t>
      </w:r>
      <w:r>
        <w:rPr>
          <w:rFonts w:ascii="Calibri" w:hAnsi="Calibri"/>
          <w:color w:val="262626"/>
          <w:sz w:val="21"/>
        </w:rPr>
        <w:t>Comprenant la présentation générale du projet, la problématisation, la modélisation MERISE du socle applicatif déjà implémenté (MCC, MCT, MCD, MLD de l'authentification, de la publication de biens, de la messagerie Reverb et des abonnements).</w:t>
      </w:r>
    </w:p>
    <w:p>
      <w:pPr>
        <w:pStyle w:val="ListBullet"/>
        <w:spacing w:after="80" w:line="276" w:lineRule="auto"/>
      </w:pPr>
      <w:r>
        <w:rPr>
          <w:rFonts w:ascii="Calibri" w:hAnsi="Calibri"/>
          <w:b/>
          <w:color w:val="262626"/>
          <w:sz w:val="21"/>
        </w:rPr>
        <w:t xml:space="preserve">2. La Deuxième Partie : Plan d'Implémentation et Diagrammes de Flux du Module Locatif — </w:t>
      </w:r>
      <w:r>
        <w:rPr>
          <w:rFonts w:ascii="Calibri" w:hAnsi="Calibri"/>
          <w:color w:val="262626"/>
          <w:sz w:val="21"/>
        </w:rPr>
        <w:t>Exposant l'extension stratégique de l'application vers la gestion locative automatisée (Lots 10 à 16), avec les diagrammes de flux opérationnels, la modélisation MERISE étendue (spécialisation 1:1 des biens, contrats de bail, quittances, tickets d'incidents) et le plan d'implémentation détaillé.</w:t>
      </w:r>
    </w:p>
    <w:p>
      <w:r>
        <w:br w:type="page"/>
      </w:r>
    </w:p>
    <w:p>
      <w:pPr>
        <w:keepNext/>
        <w:spacing w:before="360" w:after="160"/>
      </w:pPr>
      <w:r>
        <w:rPr>
          <w:rFonts w:ascii="Calibri" w:hAnsi="Calibri"/>
          <w:b/>
          <w:color w:val="1B365D"/>
          <w:sz w:val="32"/>
        </w:rPr>
        <w:t>Table des matières</w:t>
      </w:r>
    </w:p>
    <w:tbl>
      <w:tblPr>
        <w:tblW w:type="auto" w:w="0"/>
        <w:tblLook w:firstColumn="1" w:firstRow="1" w:lastColumn="0" w:lastRow="0" w:noHBand="0" w:noVBand="1" w:val="04A0"/>
        <w:tblBorders>
          <w:top w:val="single" w:sz="6" w:space="0" w:color="E0E0E0"/>
          <w:bottom w:val="single" w:sz="6" w:space="0" w:color="E0E0E0"/>
          <w:insideH w:val="single" w:sz="4" w:space="0" w:color="E0E0E0"/>
          <w:insideV w:val="none"/>
          <w:left w:val="none"/>
          <w:right w:val="none"/>
        </w:tblBorders>
      </w:tblPr>
      <w:tblGrid>
        <w:gridCol w:w="4680"/>
        <w:gridCol w:w="4680"/>
      </w:tblGrid>
      <w:tr>
        <w:tc>
          <w:tcPr>
            <w:tcW w:type="dxa" w:w="7920"/>
          </w:tcPr>
          <w:p>
            <w:pPr>
              <w:spacing w:before="80" w:after="80"/>
              <w:jc w:val="left"/>
            </w:pPr>
            <w:r>
              <w:rPr>
                <w:rFonts w:ascii="Calibri" w:hAnsi="Calibri"/>
                <w:b w:val="0"/>
                <w:i w:val="0"/>
                <w:color w:val="262626"/>
                <w:sz w:val="19"/>
              </w:rPr>
              <w:t>Dédicaces</w:t>
            </w:r>
          </w:p>
        </w:tc>
        <w:tc>
          <w:tcPr>
            <w:tcW w:type="dxa" w:w="1440"/>
          </w:tcPr>
          <w:p>
            <w:pPr>
              <w:spacing w:before="80" w:after="80"/>
              <w:jc w:val="left"/>
            </w:pPr>
            <w:r>
              <w:rPr>
                <w:rFonts w:ascii="Calibri" w:hAnsi="Calibri"/>
                <w:b w:val="0"/>
                <w:i w:val="0"/>
                <w:color w:val="262626"/>
                <w:sz w:val="19"/>
              </w:rPr>
              <w:t>4</w:t>
            </w:r>
          </w:p>
        </w:tc>
      </w:tr>
      <w:tr>
        <w:tc>
          <w:tcPr>
            <w:tcW w:type="dxa" w:w="7920"/>
          </w:tcPr>
          <w:p>
            <w:pPr>
              <w:spacing w:before="80" w:after="80"/>
              <w:jc w:val="left"/>
            </w:pPr>
            <w:r>
              <w:rPr>
                <w:rFonts w:ascii="Calibri" w:hAnsi="Calibri"/>
                <w:b w:val="0"/>
                <w:i w:val="0"/>
                <w:color w:val="262626"/>
                <w:sz w:val="19"/>
              </w:rPr>
              <w:t>Remerciements</w:t>
            </w:r>
          </w:p>
        </w:tc>
        <w:tc>
          <w:tcPr>
            <w:tcW w:type="dxa" w:w="1440"/>
          </w:tcPr>
          <w:p>
            <w:pPr>
              <w:spacing w:before="80" w:after="80"/>
              <w:jc w:val="left"/>
            </w:pPr>
            <w:r>
              <w:rPr>
                <w:rFonts w:ascii="Calibri" w:hAnsi="Calibri"/>
                <w:b w:val="0"/>
                <w:i w:val="0"/>
                <w:color w:val="262626"/>
                <w:sz w:val="19"/>
              </w:rPr>
              <w:t>5</w:t>
            </w:r>
          </w:p>
        </w:tc>
      </w:tr>
      <w:tr>
        <w:tc>
          <w:tcPr>
            <w:tcW w:type="dxa" w:w="7920"/>
          </w:tcPr>
          <w:p>
            <w:pPr>
              <w:spacing w:before="80" w:after="80"/>
              <w:jc w:val="left"/>
            </w:pPr>
            <w:r>
              <w:rPr>
                <w:rFonts w:ascii="Calibri" w:hAnsi="Calibri"/>
                <w:b w:val="0"/>
                <w:i w:val="0"/>
                <w:color w:val="262626"/>
                <w:sz w:val="19"/>
              </w:rPr>
              <w:t>Avant-propos</w:t>
            </w:r>
          </w:p>
        </w:tc>
        <w:tc>
          <w:tcPr>
            <w:tcW w:type="dxa" w:w="1440"/>
          </w:tcPr>
          <w:p>
            <w:pPr>
              <w:spacing w:before="80" w:after="80"/>
              <w:jc w:val="left"/>
            </w:pPr>
            <w:r>
              <w:rPr>
                <w:rFonts w:ascii="Calibri" w:hAnsi="Calibri"/>
                <w:b w:val="0"/>
                <w:i w:val="0"/>
                <w:color w:val="262626"/>
                <w:sz w:val="19"/>
              </w:rPr>
              <w:t>6</w:t>
            </w:r>
          </w:p>
        </w:tc>
      </w:tr>
      <w:tr>
        <w:tc>
          <w:tcPr>
            <w:tcW w:type="dxa" w:w="7920"/>
          </w:tcPr>
          <w:p>
            <w:pPr>
              <w:spacing w:before="80" w:after="80"/>
              <w:jc w:val="left"/>
            </w:pPr>
            <w:r>
              <w:rPr>
                <w:rFonts w:ascii="Calibri" w:hAnsi="Calibri"/>
                <w:b w:val="0"/>
                <w:i w:val="0"/>
                <w:color w:val="262626"/>
                <w:sz w:val="19"/>
              </w:rPr>
              <w:t>Introduction</w:t>
            </w:r>
          </w:p>
        </w:tc>
        <w:tc>
          <w:tcPr>
            <w:tcW w:type="dxa" w:w="1440"/>
          </w:tcPr>
          <w:p>
            <w:pPr>
              <w:spacing w:before="80" w:after="80"/>
              <w:jc w:val="left"/>
            </w:pPr>
            <w:r>
              <w:rPr>
                <w:rFonts w:ascii="Calibri" w:hAnsi="Calibri"/>
                <w:b w:val="0"/>
                <w:i w:val="0"/>
                <w:color w:val="262626"/>
                <w:sz w:val="19"/>
              </w:rPr>
              <w:t>7</w:t>
            </w:r>
          </w:p>
        </w:tc>
      </w:tr>
      <w:tr>
        <w:tc>
          <w:tcPr>
            <w:tcW w:type="dxa" w:w="7920"/>
            <w:shd w:fill="F0F4F8"/>
          </w:tcPr>
          <w:p>
            <w:pPr>
              <w:spacing w:before="80" w:after="80"/>
              <w:jc w:val="left"/>
            </w:pPr>
            <w:r>
              <w:rPr>
                <w:rFonts w:ascii="Calibri" w:hAnsi="Calibri"/>
                <w:b/>
                <w:i w:val="0"/>
                <w:color w:val="262626"/>
                <w:sz w:val="19"/>
              </w:rPr>
              <w:t>PREMIÈRE PARTIE : ÉTUDE PRÉALABLE ET SOCLE EXISTANT</w:t>
            </w:r>
          </w:p>
        </w:tc>
        <w:tc>
          <w:tcPr>
            <w:tcW w:type="dxa" w:w="1440"/>
            <w:shd w:fill="F0F4F8"/>
          </w:tcPr>
          <w:p>
            <w:pPr>
              <w:spacing w:before="80" w:after="80"/>
              <w:jc w:val="left"/>
            </w:pPr>
            <w:r>
              <w:rPr>
                <w:rFonts w:ascii="Calibri" w:hAnsi="Calibri"/>
                <w:b/>
                <w:i w:val="0"/>
                <w:color w:val="262626"/>
                <w:sz w:val="19"/>
              </w:rPr>
              <w:t>8</w:t>
            </w:r>
          </w:p>
        </w:tc>
      </w:tr>
      <w:tr>
        <w:tc>
          <w:tcPr>
            <w:tcW w:type="dxa" w:w="7920"/>
          </w:tcPr>
          <w:p>
            <w:pPr>
              <w:spacing w:before="80" w:after="80"/>
              <w:jc w:val="left"/>
            </w:pPr>
            <w:r>
              <w:rPr>
                <w:rFonts w:ascii="Calibri" w:hAnsi="Calibri"/>
                <w:b w:val="0"/>
                <w:i w:val="0"/>
                <w:color w:val="262626"/>
                <w:sz w:val="19"/>
              </w:rPr>
              <w:t xml:space="preserve">   I- Présentation Générale de Immo Prestige</w:t>
            </w:r>
          </w:p>
        </w:tc>
        <w:tc>
          <w:tcPr>
            <w:tcW w:type="dxa" w:w="1440"/>
          </w:tcPr>
          <w:p>
            <w:pPr>
              <w:spacing w:before="80" w:after="80"/>
              <w:jc w:val="left"/>
            </w:pPr>
            <w:r>
              <w:rPr>
                <w:rFonts w:ascii="Calibri" w:hAnsi="Calibri"/>
                <w:b w:val="0"/>
                <w:i w:val="0"/>
                <w:color w:val="262626"/>
                <w:sz w:val="19"/>
              </w:rPr>
              <w:t>8</w:t>
            </w:r>
          </w:p>
        </w:tc>
      </w:tr>
      <w:tr>
        <w:tc>
          <w:tcPr>
            <w:tcW w:type="dxa" w:w="7920"/>
          </w:tcPr>
          <w:p>
            <w:pPr>
              <w:spacing w:before="80" w:after="80"/>
              <w:jc w:val="left"/>
            </w:pPr>
            <w:r>
              <w:rPr>
                <w:rFonts w:ascii="Calibri" w:hAnsi="Calibri"/>
                <w:b w:val="0"/>
                <w:i w:val="0"/>
                <w:color w:val="262626"/>
                <w:sz w:val="19"/>
              </w:rPr>
              <w:t xml:space="preserve">      a. Historique et Contexte du Projet</w:t>
            </w:r>
          </w:p>
        </w:tc>
        <w:tc>
          <w:tcPr>
            <w:tcW w:type="dxa" w:w="1440"/>
          </w:tcPr>
          <w:p>
            <w:pPr>
              <w:spacing w:before="80" w:after="80"/>
              <w:jc w:val="left"/>
            </w:pPr>
            <w:r>
              <w:rPr>
                <w:rFonts w:ascii="Calibri" w:hAnsi="Calibri"/>
                <w:b w:val="0"/>
                <w:i w:val="0"/>
                <w:color w:val="262626"/>
                <w:sz w:val="19"/>
              </w:rPr>
              <w:t>8</w:t>
            </w:r>
          </w:p>
        </w:tc>
      </w:tr>
      <w:tr>
        <w:tc>
          <w:tcPr>
            <w:tcW w:type="dxa" w:w="7920"/>
          </w:tcPr>
          <w:p>
            <w:pPr>
              <w:spacing w:before="80" w:after="80"/>
              <w:jc w:val="left"/>
            </w:pPr>
            <w:r>
              <w:rPr>
                <w:rFonts w:ascii="Calibri" w:hAnsi="Calibri"/>
                <w:b w:val="0"/>
                <w:i w:val="0"/>
                <w:color w:val="262626"/>
                <w:sz w:val="19"/>
              </w:rPr>
              <w:t xml:space="preserve">      b. Mission, Vision et Valeurs</w:t>
            </w:r>
          </w:p>
        </w:tc>
        <w:tc>
          <w:tcPr>
            <w:tcW w:type="dxa" w:w="1440"/>
          </w:tcPr>
          <w:p>
            <w:pPr>
              <w:spacing w:before="80" w:after="80"/>
              <w:jc w:val="left"/>
            </w:pPr>
            <w:r>
              <w:rPr>
                <w:rFonts w:ascii="Calibri" w:hAnsi="Calibri"/>
                <w:b w:val="0"/>
                <w:i w:val="0"/>
                <w:color w:val="262626"/>
                <w:sz w:val="19"/>
              </w:rPr>
              <w:t>8</w:t>
            </w:r>
          </w:p>
        </w:tc>
      </w:tr>
      <w:tr>
        <w:tc>
          <w:tcPr>
            <w:tcW w:type="dxa" w:w="7920"/>
          </w:tcPr>
          <w:p>
            <w:pPr>
              <w:spacing w:before="80" w:after="80"/>
              <w:jc w:val="left"/>
            </w:pPr>
            <w:r>
              <w:rPr>
                <w:rFonts w:ascii="Calibri" w:hAnsi="Calibri"/>
                <w:b w:val="0"/>
                <w:i w:val="0"/>
                <w:color w:val="262626"/>
                <w:sz w:val="19"/>
              </w:rPr>
              <w:t xml:space="preserve">      c. Organigramme et Architecture globale (Laravel 12 / React / Expo)</w:t>
            </w:r>
          </w:p>
        </w:tc>
        <w:tc>
          <w:tcPr>
            <w:tcW w:type="dxa" w:w="1440"/>
          </w:tcPr>
          <w:p>
            <w:pPr>
              <w:spacing w:before="80" w:after="80"/>
              <w:jc w:val="left"/>
            </w:pPr>
            <w:r>
              <w:rPr>
                <w:rFonts w:ascii="Calibri" w:hAnsi="Calibri"/>
                <w:b w:val="0"/>
                <w:i w:val="0"/>
                <w:color w:val="262626"/>
                <w:sz w:val="19"/>
              </w:rPr>
              <w:t>9</w:t>
            </w:r>
          </w:p>
        </w:tc>
      </w:tr>
      <w:tr>
        <w:tc>
          <w:tcPr>
            <w:tcW w:type="dxa" w:w="7920"/>
          </w:tcPr>
          <w:p>
            <w:pPr>
              <w:spacing w:before="80" w:after="80"/>
              <w:jc w:val="left"/>
            </w:pPr>
            <w:r>
              <w:rPr>
                <w:rFonts w:ascii="Calibri" w:hAnsi="Calibri"/>
                <w:b w:val="0"/>
                <w:i w:val="0"/>
                <w:color w:val="262626"/>
                <w:sz w:val="19"/>
              </w:rPr>
              <w:t xml:space="preserve">   II- Étude de l'Existant (Socle Implémenté)</w:t>
            </w:r>
          </w:p>
        </w:tc>
        <w:tc>
          <w:tcPr>
            <w:tcW w:type="dxa" w:w="1440"/>
          </w:tcPr>
          <w:p>
            <w:pPr>
              <w:spacing w:before="80" w:after="80"/>
              <w:jc w:val="left"/>
            </w:pPr>
            <w:r>
              <w:rPr>
                <w:rFonts w:ascii="Calibri" w:hAnsi="Calibri"/>
                <w:b w:val="0"/>
                <w:i w:val="0"/>
                <w:color w:val="262626"/>
                <w:sz w:val="19"/>
              </w:rPr>
              <w:t>10</w:t>
            </w:r>
          </w:p>
        </w:tc>
      </w:tr>
      <w:tr>
        <w:tc>
          <w:tcPr>
            <w:tcW w:type="dxa" w:w="7920"/>
          </w:tcPr>
          <w:p>
            <w:pPr>
              <w:spacing w:before="80" w:after="80"/>
              <w:jc w:val="left"/>
            </w:pPr>
            <w:r>
              <w:rPr>
                <w:rFonts w:ascii="Calibri" w:hAnsi="Calibri"/>
                <w:b w:val="0"/>
                <w:i w:val="0"/>
                <w:color w:val="262626"/>
                <w:sz w:val="19"/>
              </w:rPr>
              <w:t xml:space="preserve">      a. Problématique</w:t>
            </w:r>
          </w:p>
        </w:tc>
        <w:tc>
          <w:tcPr>
            <w:tcW w:type="dxa" w:w="1440"/>
          </w:tcPr>
          <w:p>
            <w:pPr>
              <w:spacing w:before="80" w:after="80"/>
              <w:jc w:val="left"/>
            </w:pPr>
            <w:r>
              <w:rPr>
                <w:rFonts w:ascii="Calibri" w:hAnsi="Calibri"/>
                <w:b w:val="0"/>
                <w:i w:val="0"/>
                <w:color w:val="262626"/>
                <w:sz w:val="19"/>
              </w:rPr>
              <w:t>10</w:t>
            </w:r>
          </w:p>
        </w:tc>
      </w:tr>
      <w:tr>
        <w:tc>
          <w:tcPr>
            <w:tcW w:type="dxa" w:w="7920"/>
          </w:tcPr>
          <w:p>
            <w:pPr>
              <w:spacing w:before="80" w:after="80"/>
              <w:jc w:val="left"/>
            </w:pPr>
            <w:r>
              <w:rPr>
                <w:rFonts w:ascii="Calibri" w:hAnsi="Calibri"/>
                <w:b w:val="0"/>
                <w:i w:val="0"/>
                <w:color w:val="262626"/>
                <w:sz w:val="19"/>
              </w:rPr>
              <w:t xml:space="preserve">      b. Objectifs de l'étude</w:t>
            </w:r>
          </w:p>
        </w:tc>
        <w:tc>
          <w:tcPr>
            <w:tcW w:type="dxa" w:w="1440"/>
          </w:tcPr>
          <w:p>
            <w:pPr>
              <w:spacing w:before="80" w:after="80"/>
              <w:jc w:val="left"/>
            </w:pPr>
            <w:r>
              <w:rPr>
                <w:rFonts w:ascii="Calibri" w:hAnsi="Calibri"/>
                <w:b w:val="0"/>
                <w:i w:val="0"/>
                <w:color w:val="262626"/>
                <w:sz w:val="19"/>
              </w:rPr>
              <w:t>10</w:t>
            </w:r>
          </w:p>
        </w:tc>
      </w:tr>
      <w:tr>
        <w:tc>
          <w:tcPr>
            <w:tcW w:type="dxa" w:w="7920"/>
          </w:tcPr>
          <w:p>
            <w:pPr>
              <w:spacing w:before="80" w:after="80"/>
              <w:jc w:val="left"/>
            </w:pPr>
            <w:r>
              <w:rPr>
                <w:rFonts w:ascii="Calibri" w:hAnsi="Calibri"/>
                <w:b w:val="0"/>
                <w:i w:val="0"/>
                <w:color w:val="262626"/>
                <w:sz w:val="19"/>
              </w:rPr>
              <w:t xml:space="preserve">   III- Analyse MERISE du Socle Implémenté</w:t>
            </w:r>
          </w:p>
        </w:tc>
        <w:tc>
          <w:tcPr>
            <w:tcW w:type="dxa" w:w="1440"/>
          </w:tcPr>
          <w:p>
            <w:pPr>
              <w:spacing w:before="80" w:after="80"/>
              <w:jc w:val="left"/>
            </w:pPr>
            <w:r>
              <w:rPr>
                <w:rFonts w:ascii="Calibri" w:hAnsi="Calibri"/>
                <w:b w:val="0"/>
                <w:i w:val="0"/>
                <w:color w:val="262626"/>
                <w:sz w:val="19"/>
              </w:rPr>
              <w:t>11</w:t>
            </w:r>
          </w:p>
        </w:tc>
      </w:tr>
      <w:tr>
        <w:tc>
          <w:tcPr>
            <w:tcW w:type="dxa" w:w="7920"/>
          </w:tcPr>
          <w:p>
            <w:pPr>
              <w:spacing w:before="80" w:after="80"/>
              <w:jc w:val="left"/>
            </w:pPr>
            <w:r>
              <w:rPr>
                <w:rFonts w:ascii="Calibri" w:hAnsi="Calibri"/>
                <w:b w:val="0"/>
                <w:i w:val="0"/>
                <w:color w:val="262626"/>
                <w:sz w:val="19"/>
              </w:rPr>
              <w:t xml:space="preserve">      a. La méthode d'analyse MERISE</w:t>
            </w:r>
          </w:p>
        </w:tc>
        <w:tc>
          <w:tcPr>
            <w:tcW w:type="dxa" w:w="1440"/>
          </w:tcPr>
          <w:p>
            <w:pPr>
              <w:spacing w:before="80" w:after="80"/>
              <w:jc w:val="left"/>
            </w:pPr>
            <w:r>
              <w:rPr>
                <w:rFonts w:ascii="Calibri" w:hAnsi="Calibri"/>
                <w:b w:val="0"/>
                <w:i w:val="0"/>
                <w:color w:val="262626"/>
                <w:sz w:val="19"/>
              </w:rPr>
              <w:t>11</w:t>
            </w:r>
          </w:p>
        </w:tc>
      </w:tr>
      <w:tr>
        <w:tc>
          <w:tcPr>
            <w:tcW w:type="dxa" w:w="7920"/>
          </w:tcPr>
          <w:p>
            <w:pPr>
              <w:spacing w:before="80" w:after="80"/>
              <w:jc w:val="left"/>
            </w:pPr>
            <w:r>
              <w:rPr>
                <w:rFonts w:ascii="Calibri" w:hAnsi="Calibri"/>
                <w:b w:val="0"/>
                <w:i w:val="0"/>
                <w:color w:val="262626"/>
                <w:sz w:val="19"/>
              </w:rPr>
              <w:t xml:space="preserve">      b. Modèle Conceptuel de Communication (MCC) : Acteurs &amp; Flux F1 à F24</w:t>
            </w:r>
          </w:p>
        </w:tc>
        <w:tc>
          <w:tcPr>
            <w:tcW w:type="dxa" w:w="1440"/>
          </w:tcPr>
          <w:p>
            <w:pPr>
              <w:spacing w:before="80" w:after="80"/>
              <w:jc w:val="left"/>
            </w:pPr>
            <w:r>
              <w:rPr>
                <w:rFonts w:ascii="Calibri" w:hAnsi="Calibri"/>
                <w:b w:val="0"/>
                <w:i w:val="0"/>
                <w:color w:val="262626"/>
                <w:sz w:val="19"/>
              </w:rPr>
              <w:t>13</w:t>
            </w:r>
          </w:p>
        </w:tc>
      </w:tr>
      <w:tr>
        <w:tc>
          <w:tcPr>
            <w:tcW w:type="dxa" w:w="7920"/>
          </w:tcPr>
          <w:p>
            <w:pPr>
              <w:spacing w:before="80" w:after="80"/>
              <w:jc w:val="left"/>
            </w:pPr>
            <w:r>
              <w:rPr>
                <w:rFonts w:ascii="Calibri" w:hAnsi="Calibri"/>
                <w:b w:val="0"/>
                <w:i w:val="0"/>
                <w:color w:val="262626"/>
                <w:sz w:val="19"/>
              </w:rPr>
              <w:t xml:space="preserve">      c. Modèle Conceptuel des Traitements (MCT) : Traitements T1 à T10</w:t>
            </w:r>
          </w:p>
        </w:tc>
        <w:tc>
          <w:tcPr>
            <w:tcW w:type="dxa" w:w="1440"/>
          </w:tcPr>
          <w:p>
            <w:pPr>
              <w:spacing w:before="80" w:after="80"/>
              <w:jc w:val="left"/>
            </w:pPr>
            <w:r>
              <w:rPr>
                <w:rFonts w:ascii="Calibri" w:hAnsi="Calibri"/>
                <w:b w:val="0"/>
                <w:i w:val="0"/>
                <w:color w:val="262626"/>
                <w:sz w:val="19"/>
              </w:rPr>
              <w:t>16</w:t>
            </w:r>
          </w:p>
        </w:tc>
      </w:tr>
      <w:tr>
        <w:tc>
          <w:tcPr>
            <w:tcW w:type="dxa" w:w="7920"/>
          </w:tcPr>
          <w:p>
            <w:pPr>
              <w:spacing w:before="80" w:after="80"/>
              <w:jc w:val="left"/>
            </w:pPr>
            <w:r>
              <w:rPr>
                <w:rFonts w:ascii="Calibri" w:hAnsi="Calibri"/>
                <w:b w:val="0"/>
                <w:i w:val="0"/>
                <w:color w:val="262626"/>
                <w:sz w:val="19"/>
              </w:rPr>
              <w:t xml:space="preserve">      d. Modèle Conceptuel de Données (MCD) et Modèle Logique (MLD)</w:t>
            </w:r>
          </w:p>
        </w:tc>
        <w:tc>
          <w:tcPr>
            <w:tcW w:type="dxa" w:w="1440"/>
          </w:tcPr>
          <w:p>
            <w:pPr>
              <w:spacing w:before="80" w:after="80"/>
              <w:jc w:val="left"/>
            </w:pPr>
            <w:r>
              <w:rPr>
                <w:rFonts w:ascii="Calibri" w:hAnsi="Calibri"/>
                <w:b w:val="0"/>
                <w:i w:val="0"/>
                <w:color w:val="262626"/>
                <w:sz w:val="19"/>
              </w:rPr>
              <w:t>20</w:t>
            </w:r>
          </w:p>
        </w:tc>
      </w:tr>
      <w:tr>
        <w:tc>
          <w:tcPr>
            <w:tcW w:type="dxa" w:w="7920"/>
            <w:shd w:fill="F0F4F8"/>
          </w:tcPr>
          <w:p>
            <w:pPr>
              <w:spacing w:before="80" w:after="80"/>
              <w:jc w:val="left"/>
            </w:pPr>
            <w:r>
              <w:rPr>
                <w:rFonts w:ascii="Calibri" w:hAnsi="Calibri"/>
                <w:b/>
                <w:i w:val="0"/>
                <w:color w:val="262626"/>
                <w:sz w:val="19"/>
              </w:rPr>
              <w:t>DEUXIÈME PARTIE : PLAN D'IMPLÉMENTATION ET DIAGRAMMES DE FLUX DU MODULE LOCATIF (LOTS 10 À 16)</w:t>
            </w:r>
          </w:p>
        </w:tc>
        <w:tc>
          <w:tcPr>
            <w:tcW w:type="dxa" w:w="1440"/>
            <w:shd w:fill="F0F4F8"/>
          </w:tcPr>
          <w:p>
            <w:pPr>
              <w:spacing w:before="80" w:after="80"/>
              <w:jc w:val="left"/>
            </w:pPr>
            <w:r>
              <w:rPr>
                <w:rFonts w:ascii="Calibri" w:hAnsi="Calibri"/>
                <w:b/>
                <w:i w:val="0"/>
                <w:color w:val="262626"/>
                <w:sz w:val="19"/>
              </w:rPr>
              <w:t>25</w:t>
            </w:r>
          </w:p>
        </w:tc>
      </w:tr>
      <w:tr>
        <w:tc>
          <w:tcPr>
            <w:tcW w:type="dxa" w:w="7920"/>
          </w:tcPr>
          <w:p>
            <w:pPr>
              <w:spacing w:before="80" w:after="80"/>
              <w:jc w:val="left"/>
            </w:pPr>
            <w:r>
              <w:rPr>
                <w:rFonts w:ascii="Calibri" w:hAnsi="Calibri"/>
                <w:b w:val="0"/>
                <w:i w:val="0"/>
                <w:color w:val="262626"/>
                <w:sz w:val="19"/>
              </w:rPr>
              <w:t xml:space="preserve">   I- Contexte et Décisions d'Architecture du Module Location</w:t>
            </w:r>
          </w:p>
        </w:tc>
        <w:tc>
          <w:tcPr>
            <w:tcW w:type="dxa" w:w="1440"/>
          </w:tcPr>
          <w:p>
            <w:pPr>
              <w:spacing w:before="80" w:after="80"/>
              <w:jc w:val="left"/>
            </w:pPr>
            <w:r>
              <w:rPr>
                <w:rFonts w:ascii="Calibri" w:hAnsi="Calibri"/>
                <w:b w:val="0"/>
                <w:i w:val="0"/>
                <w:color w:val="262626"/>
                <w:sz w:val="19"/>
              </w:rPr>
              <w:t>25</w:t>
            </w:r>
          </w:p>
        </w:tc>
      </w:tr>
      <w:tr>
        <w:tc>
          <w:tcPr>
            <w:tcW w:type="dxa" w:w="7920"/>
          </w:tcPr>
          <w:p>
            <w:pPr>
              <w:spacing w:before="80" w:after="80"/>
              <w:jc w:val="left"/>
            </w:pPr>
            <w:r>
              <w:rPr>
                <w:rFonts w:ascii="Calibri" w:hAnsi="Calibri"/>
                <w:b w:val="0"/>
                <w:i w:val="0"/>
                <w:color w:val="262626"/>
                <w:sz w:val="19"/>
              </w:rPr>
              <w:t xml:space="preserve">      a. Spécialisation 1:1 des biens (property_sale_details &amp; property_rental_details)</w:t>
            </w:r>
          </w:p>
        </w:tc>
        <w:tc>
          <w:tcPr>
            <w:tcW w:type="dxa" w:w="1440"/>
          </w:tcPr>
          <w:p>
            <w:pPr>
              <w:spacing w:before="80" w:after="80"/>
              <w:jc w:val="left"/>
            </w:pPr>
            <w:r>
              <w:rPr>
                <w:rFonts w:ascii="Calibri" w:hAnsi="Calibri"/>
                <w:b w:val="0"/>
                <w:i w:val="0"/>
                <w:color w:val="262626"/>
                <w:sz w:val="19"/>
              </w:rPr>
              <w:t>25</w:t>
            </w:r>
          </w:p>
        </w:tc>
      </w:tr>
      <w:tr>
        <w:tc>
          <w:tcPr>
            <w:tcW w:type="dxa" w:w="7920"/>
          </w:tcPr>
          <w:p>
            <w:pPr>
              <w:spacing w:before="80" w:after="80"/>
              <w:jc w:val="left"/>
            </w:pPr>
            <w:r>
              <w:rPr>
                <w:rFonts w:ascii="Calibri" w:hAnsi="Calibri"/>
                <w:b w:val="0"/>
                <w:i w:val="0"/>
                <w:color w:val="262626"/>
                <w:sz w:val="19"/>
              </w:rPr>
              <w:t xml:space="preserve">      b. Extension du système de paiement (PayDunya / CFA XOF)</w:t>
            </w:r>
          </w:p>
        </w:tc>
        <w:tc>
          <w:tcPr>
            <w:tcW w:type="dxa" w:w="1440"/>
          </w:tcPr>
          <w:p>
            <w:pPr>
              <w:spacing w:before="80" w:after="80"/>
              <w:jc w:val="left"/>
            </w:pPr>
            <w:r>
              <w:rPr>
                <w:rFonts w:ascii="Calibri" w:hAnsi="Calibri"/>
                <w:b w:val="0"/>
                <w:i w:val="0"/>
                <w:color w:val="262626"/>
                <w:sz w:val="19"/>
              </w:rPr>
              <w:t>26</w:t>
            </w:r>
          </w:p>
        </w:tc>
      </w:tr>
      <w:tr>
        <w:tc>
          <w:tcPr>
            <w:tcW w:type="dxa" w:w="7920"/>
          </w:tcPr>
          <w:p>
            <w:pPr>
              <w:spacing w:before="80" w:after="80"/>
              <w:jc w:val="left"/>
            </w:pPr>
            <w:r>
              <w:rPr>
                <w:rFonts w:ascii="Calibri" w:hAnsi="Calibri"/>
                <w:b w:val="0"/>
                <w:i w:val="0"/>
                <w:color w:val="262626"/>
                <w:sz w:val="19"/>
              </w:rPr>
              <w:t xml:space="preserve">      c. Système de Notifications Tri-Canal (Database, Reverb, Mail)</w:t>
            </w:r>
          </w:p>
        </w:tc>
        <w:tc>
          <w:tcPr>
            <w:tcW w:type="dxa" w:w="1440"/>
          </w:tcPr>
          <w:p>
            <w:pPr>
              <w:spacing w:before="80" w:after="80"/>
              <w:jc w:val="left"/>
            </w:pPr>
            <w:r>
              <w:rPr>
                <w:rFonts w:ascii="Calibri" w:hAnsi="Calibri"/>
                <w:b w:val="0"/>
                <w:i w:val="0"/>
                <w:color w:val="262626"/>
                <w:sz w:val="19"/>
              </w:rPr>
              <w:t>27</w:t>
            </w:r>
          </w:p>
        </w:tc>
      </w:tr>
      <w:tr>
        <w:tc>
          <w:tcPr>
            <w:tcW w:type="dxa" w:w="7920"/>
          </w:tcPr>
          <w:p>
            <w:pPr>
              <w:spacing w:before="80" w:after="80"/>
              <w:jc w:val="left"/>
            </w:pPr>
            <w:r>
              <w:rPr>
                <w:rFonts w:ascii="Calibri" w:hAnsi="Calibri"/>
                <w:b w:val="0"/>
                <w:i w:val="0"/>
                <w:color w:val="262626"/>
                <w:sz w:val="19"/>
              </w:rPr>
              <w:t xml:space="preserve">   II- Diagrammes de Flux et Processus Métier de la Location</w:t>
            </w:r>
          </w:p>
        </w:tc>
        <w:tc>
          <w:tcPr>
            <w:tcW w:type="dxa" w:w="1440"/>
          </w:tcPr>
          <w:p>
            <w:pPr>
              <w:spacing w:before="80" w:after="80"/>
              <w:jc w:val="left"/>
            </w:pPr>
            <w:r>
              <w:rPr>
                <w:rFonts w:ascii="Calibri" w:hAnsi="Calibri"/>
                <w:b w:val="0"/>
                <w:i w:val="0"/>
                <w:color w:val="262626"/>
                <w:sz w:val="19"/>
              </w:rPr>
              <w:t>28</w:t>
            </w:r>
          </w:p>
        </w:tc>
      </w:tr>
      <w:tr>
        <w:tc>
          <w:tcPr>
            <w:tcW w:type="dxa" w:w="7920"/>
          </w:tcPr>
          <w:p>
            <w:pPr>
              <w:spacing w:before="80" w:after="80"/>
              <w:jc w:val="left"/>
            </w:pPr>
            <w:r>
              <w:rPr>
                <w:rFonts w:ascii="Calibri" w:hAnsi="Calibri"/>
                <w:b w:val="0"/>
                <w:i w:val="0"/>
                <w:color w:val="262626"/>
                <w:sz w:val="19"/>
              </w:rPr>
              <w:t xml:space="preserve">      a. Flux 1 : Dossier de candidature locataire</w:t>
            </w:r>
          </w:p>
        </w:tc>
        <w:tc>
          <w:tcPr>
            <w:tcW w:type="dxa" w:w="1440"/>
          </w:tcPr>
          <w:p>
            <w:pPr>
              <w:spacing w:before="80" w:after="80"/>
              <w:jc w:val="left"/>
            </w:pPr>
            <w:r>
              <w:rPr>
                <w:rFonts w:ascii="Calibri" w:hAnsi="Calibri"/>
                <w:b w:val="0"/>
                <w:i w:val="0"/>
                <w:color w:val="262626"/>
                <w:sz w:val="19"/>
              </w:rPr>
              <w:t>28</w:t>
            </w:r>
          </w:p>
        </w:tc>
      </w:tr>
      <w:tr>
        <w:tc>
          <w:tcPr>
            <w:tcW w:type="dxa" w:w="7920"/>
          </w:tcPr>
          <w:p>
            <w:pPr>
              <w:spacing w:before="80" w:after="80"/>
              <w:jc w:val="left"/>
            </w:pPr>
            <w:r>
              <w:rPr>
                <w:rFonts w:ascii="Calibri" w:hAnsi="Calibri"/>
                <w:b w:val="0"/>
                <w:i w:val="0"/>
                <w:color w:val="262626"/>
                <w:sz w:val="19"/>
              </w:rPr>
              <w:t xml:space="preserve">      b. Flux 2 : Contrat de bail, signature &amp; dépôt de garantie</w:t>
            </w:r>
          </w:p>
        </w:tc>
        <w:tc>
          <w:tcPr>
            <w:tcW w:type="dxa" w:w="1440"/>
          </w:tcPr>
          <w:p>
            <w:pPr>
              <w:spacing w:before="80" w:after="80"/>
              <w:jc w:val="left"/>
            </w:pPr>
            <w:r>
              <w:rPr>
                <w:rFonts w:ascii="Calibri" w:hAnsi="Calibri"/>
                <w:b w:val="0"/>
                <w:i w:val="0"/>
                <w:color w:val="262626"/>
                <w:sz w:val="19"/>
              </w:rPr>
              <w:t>29</w:t>
            </w:r>
          </w:p>
        </w:tc>
      </w:tr>
      <w:tr>
        <w:tc>
          <w:tcPr>
            <w:tcW w:type="dxa" w:w="7920"/>
          </w:tcPr>
          <w:p>
            <w:pPr>
              <w:spacing w:before="80" w:after="80"/>
              <w:jc w:val="left"/>
            </w:pPr>
            <w:r>
              <w:rPr>
                <w:rFonts w:ascii="Calibri" w:hAnsi="Calibri"/>
                <w:b w:val="0"/>
                <w:i w:val="0"/>
                <w:color w:val="262626"/>
                <w:sz w:val="19"/>
              </w:rPr>
              <w:t xml:space="preserve">      c. Flux 3 : Appel d'échéance, loyers &amp; quittances automatisées</w:t>
            </w:r>
          </w:p>
        </w:tc>
        <w:tc>
          <w:tcPr>
            <w:tcW w:type="dxa" w:w="1440"/>
          </w:tcPr>
          <w:p>
            <w:pPr>
              <w:spacing w:before="80" w:after="80"/>
              <w:jc w:val="left"/>
            </w:pPr>
            <w:r>
              <w:rPr>
                <w:rFonts w:ascii="Calibri" w:hAnsi="Calibri"/>
                <w:b w:val="0"/>
                <w:i w:val="0"/>
                <w:color w:val="262626"/>
                <w:sz w:val="19"/>
              </w:rPr>
              <w:t>30</w:t>
            </w:r>
          </w:p>
        </w:tc>
      </w:tr>
      <w:tr>
        <w:tc>
          <w:tcPr>
            <w:tcW w:type="dxa" w:w="7920"/>
          </w:tcPr>
          <w:p>
            <w:pPr>
              <w:spacing w:before="80" w:after="80"/>
              <w:jc w:val="left"/>
            </w:pPr>
            <w:r>
              <w:rPr>
                <w:rFonts w:ascii="Calibri" w:hAnsi="Calibri"/>
                <w:b w:val="0"/>
                <w:i w:val="0"/>
                <w:color w:val="262626"/>
                <w:sz w:val="19"/>
              </w:rPr>
              <w:t xml:space="preserve">      d. Flux 4 : Incidents et tickets de maintenance</w:t>
            </w:r>
          </w:p>
        </w:tc>
        <w:tc>
          <w:tcPr>
            <w:tcW w:type="dxa" w:w="1440"/>
          </w:tcPr>
          <w:p>
            <w:pPr>
              <w:spacing w:before="80" w:after="80"/>
              <w:jc w:val="left"/>
            </w:pPr>
            <w:r>
              <w:rPr>
                <w:rFonts w:ascii="Calibri" w:hAnsi="Calibri"/>
                <w:b w:val="0"/>
                <w:i w:val="0"/>
                <w:color w:val="262626"/>
                <w:sz w:val="19"/>
              </w:rPr>
              <w:t>31</w:t>
            </w:r>
          </w:p>
        </w:tc>
      </w:tr>
      <w:tr>
        <w:tc>
          <w:tcPr>
            <w:tcW w:type="dxa" w:w="7920"/>
          </w:tcPr>
          <w:p>
            <w:pPr>
              <w:spacing w:before="80" w:after="80"/>
              <w:jc w:val="left"/>
            </w:pPr>
            <w:r>
              <w:rPr>
                <w:rFonts w:ascii="Calibri" w:hAnsi="Calibri"/>
                <w:b w:val="0"/>
                <w:i w:val="0"/>
                <w:color w:val="262626"/>
                <w:sz w:val="19"/>
              </w:rPr>
              <w:t xml:space="preserve">   III- Modélisation MERISE Étendue de la Gestion Locative</w:t>
            </w:r>
          </w:p>
        </w:tc>
        <w:tc>
          <w:tcPr>
            <w:tcW w:type="dxa" w:w="1440"/>
          </w:tcPr>
          <w:p>
            <w:pPr>
              <w:spacing w:before="80" w:after="80"/>
              <w:jc w:val="left"/>
            </w:pPr>
            <w:r>
              <w:rPr>
                <w:rFonts w:ascii="Calibri" w:hAnsi="Calibri"/>
                <w:b w:val="0"/>
                <w:i w:val="0"/>
                <w:color w:val="262626"/>
                <w:sz w:val="19"/>
              </w:rPr>
              <w:t>32</w:t>
            </w:r>
          </w:p>
        </w:tc>
      </w:tr>
      <w:tr>
        <w:tc>
          <w:tcPr>
            <w:tcW w:type="dxa" w:w="7920"/>
          </w:tcPr>
          <w:p>
            <w:pPr>
              <w:spacing w:before="80" w:after="80"/>
              <w:jc w:val="left"/>
            </w:pPr>
            <w:r>
              <w:rPr>
                <w:rFonts w:ascii="Calibri" w:hAnsi="Calibri"/>
                <w:b w:val="0"/>
                <w:i w:val="0"/>
                <w:color w:val="262626"/>
                <w:sz w:val="19"/>
              </w:rPr>
              <w:t xml:space="preserve">      a. Dictionnaire de données étendu</w:t>
            </w:r>
          </w:p>
        </w:tc>
        <w:tc>
          <w:tcPr>
            <w:tcW w:type="dxa" w:w="1440"/>
          </w:tcPr>
          <w:p>
            <w:pPr>
              <w:spacing w:before="80" w:after="80"/>
              <w:jc w:val="left"/>
            </w:pPr>
            <w:r>
              <w:rPr>
                <w:rFonts w:ascii="Calibri" w:hAnsi="Calibri"/>
                <w:b w:val="0"/>
                <w:i w:val="0"/>
                <w:color w:val="262626"/>
                <w:sz w:val="19"/>
              </w:rPr>
              <w:t>32</w:t>
            </w:r>
          </w:p>
        </w:tc>
      </w:tr>
      <w:tr>
        <w:tc>
          <w:tcPr>
            <w:tcW w:type="dxa" w:w="7920"/>
          </w:tcPr>
          <w:p>
            <w:pPr>
              <w:spacing w:before="80" w:after="80"/>
              <w:jc w:val="left"/>
            </w:pPr>
            <w:r>
              <w:rPr>
                <w:rFonts w:ascii="Calibri" w:hAnsi="Calibri"/>
                <w:b w:val="0"/>
                <w:i w:val="0"/>
                <w:color w:val="262626"/>
                <w:sz w:val="19"/>
              </w:rPr>
              <w:t xml:space="preserve">      b. MCD &amp; MLD Étendus (Baux, Échéances, Maintenance, Propriétaires)</w:t>
            </w:r>
          </w:p>
        </w:tc>
        <w:tc>
          <w:tcPr>
            <w:tcW w:type="dxa" w:w="1440"/>
          </w:tcPr>
          <w:p>
            <w:pPr>
              <w:spacing w:before="80" w:after="80"/>
              <w:jc w:val="left"/>
            </w:pPr>
            <w:r>
              <w:rPr>
                <w:rFonts w:ascii="Calibri" w:hAnsi="Calibri"/>
                <w:b w:val="0"/>
                <w:i w:val="0"/>
                <w:color w:val="262626"/>
                <w:sz w:val="19"/>
              </w:rPr>
              <w:t>35</w:t>
            </w:r>
          </w:p>
        </w:tc>
      </w:tr>
      <w:tr>
        <w:tc>
          <w:tcPr>
            <w:tcW w:type="dxa" w:w="7920"/>
          </w:tcPr>
          <w:p>
            <w:pPr>
              <w:spacing w:before="80" w:after="80"/>
              <w:jc w:val="left"/>
            </w:pPr>
            <w:r>
              <w:rPr>
                <w:rFonts w:ascii="Calibri" w:hAnsi="Calibri"/>
                <w:b w:val="0"/>
                <w:i w:val="0"/>
                <w:color w:val="262626"/>
                <w:sz w:val="19"/>
              </w:rPr>
              <w:t xml:space="preserve">   IV- Découpage Opérationnel par Lots (Lots 10 à 16)</w:t>
            </w:r>
          </w:p>
        </w:tc>
        <w:tc>
          <w:tcPr>
            <w:tcW w:type="dxa" w:w="1440"/>
          </w:tcPr>
          <w:p>
            <w:pPr>
              <w:spacing w:before="80" w:after="80"/>
              <w:jc w:val="left"/>
            </w:pPr>
            <w:r>
              <w:rPr>
                <w:rFonts w:ascii="Calibri" w:hAnsi="Calibri"/>
                <w:b w:val="0"/>
                <w:i w:val="0"/>
                <w:color w:val="262626"/>
                <w:sz w:val="19"/>
              </w:rPr>
              <w:t>37</w:t>
            </w:r>
          </w:p>
        </w:tc>
      </w:tr>
      <w:tr>
        <w:tc>
          <w:tcPr>
            <w:tcW w:type="dxa" w:w="7920"/>
          </w:tcPr>
          <w:p>
            <w:pPr>
              <w:spacing w:before="80" w:after="80"/>
              <w:jc w:val="left"/>
            </w:pPr>
            <w:r>
              <w:rPr>
                <w:rFonts w:ascii="Calibri" w:hAnsi="Calibri"/>
                <w:b w:val="0"/>
                <w:i w:val="0"/>
                <w:color w:val="262626"/>
                <w:sz w:val="19"/>
              </w:rPr>
              <w:t>Conclusion Générale et Perspectives</w:t>
            </w:r>
          </w:p>
        </w:tc>
        <w:tc>
          <w:tcPr>
            <w:tcW w:type="dxa" w:w="1440"/>
          </w:tcPr>
          <w:p>
            <w:pPr>
              <w:spacing w:before="80" w:after="80"/>
              <w:jc w:val="left"/>
            </w:pPr>
            <w:r>
              <w:rPr>
                <w:rFonts w:ascii="Calibri" w:hAnsi="Calibri"/>
                <w:b w:val="0"/>
                <w:i w:val="0"/>
                <w:color w:val="262626"/>
                <w:sz w:val="19"/>
              </w:rPr>
              <w:t>39</w:t>
            </w:r>
          </w:p>
        </w:tc>
      </w:tr>
      <w:tr>
        <w:tc>
          <w:tcPr>
            <w:tcW w:type="dxa" w:w="7920"/>
          </w:tcPr>
          <w:p>
            <w:pPr>
              <w:spacing w:before="80" w:after="80"/>
              <w:jc w:val="left"/>
            </w:pPr>
            <w:r>
              <w:rPr>
                <w:rFonts w:ascii="Calibri" w:hAnsi="Calibri"/>
                <w:b w:val="0"/>
                <w:i w:val="0"/>
                <w:color w:val="262626"/>
                <w:sz w:val="19"/>
              </w:rPr>
              <w:t>Bibliographie et Références Web</w:t>
            </w:r>
          </w:p>
        </w:tc>
        <w:tc>
          <w:tcPr>
            <w:tcW w:type="dxa" w:w="1440"/>
          </w:tcPr>
          <w:p>
            <w:pPr>
              <w:spacing w:before="80" w:after="80"/>
              <w:jc w:val="left"/>
            </w:pPr>
            <w:r>
              <w:rPr>
                <w:rFonts w:ascii="Calibri" w:hAnsi="Calibri"/>
                <w:b w:val="0"/>
                <w:i w:val="0"/>
                <w:color w:val="262626"/>
                <w:sz w:val="19"/>
              </w:rPr>
              <w:t>40</w:t>
            </w:r>
          </w:p>
        </w:tc>
      </w:tr>
    </w:tbl>
    <w:p>
      <w:r>
        <w:br w:type="page"/>
      </w:r>
    </w:p>
    <w:p>
      <w:pPr>
        <w:keepNext/>
        <w:spacing w:before="360" w:after="160"/>
      </w:pPr>
      <w:r>
        <w:rPr>
          <w:rFonts w:ascii="Calibri" w:hAnsi="Calibri"/>
          <w:b/>
          <w:color w:val="1B365D"/>
          <w:sz w:val="32"/>
        </w:rPr>
        <w:t>PREMIÈRE PARTIE : ÉTUDE PRÉALABLE ET SOCLE EXISTANT</w:t>
      </w:r>
    </w:p>
    <w:p>
      <w:pPr>
        <w:keepNext/>
        <w:spacing w:before="280" w:after="120"/>
      </w:pPr>
      <w:r>
        <w:rPr>
          <w:rFonts w:ascii="Calibri" w:hAnsi="Calibri"/>
          <w:b/>
          <w:color w:val="2E75B6"/>
          <w:sz w:val="26"/>
        </w:rPr>
        <w:t>I- Présentation Générale de Immo Prestige</w:t>
      </w:r>
    </w:p>
    <w:p>
      <w:pPr>
        <w:keepNext/>
        <w:spacing w:before="200" w:after="80"/>
      </w:pPr>
      <w:r>
        <w:rPr>
          <w:rFonts w:ascii="Calibri" w:hAnsi="Calibri"/>
          <w:b/>
          <w:i/>
          <w:color w:val="333333"/>
          <w:sz w:val="22"/>
        </w:rPr>
        <w:t>a. Historique et Contexte du Projet</w:t>
      </w:r>
    </w:p>
    <w:p>
      <w:pPr>
        <w:spacing w:after="120" w:line="276" w:lineRule="auto"/>
      </w:pPr>
      <w:r>
        <w:rPr>
          <w:rFonts w:ascii="Calibri" w:hAnsi="Calibri"/>
          <w:color w:val="262626"/>
          <w:sz w:val="22"/>
        </w:rPr>
        <w:t>Immo Prestige est né d'un constat fort sur le marché immobilier sénégalais : l'absence d'une plateforme intégrée réunissant les exigences de standing, la transparence des transactions et la numérisation complète de la relation entre les agences immobilières, les propriétaires et les clients.</w:t>
      </w:r>
    </w:p>
    <w:p>
      <w:pPr>
        <w:spacing w:after="120" w:line="276" w:lineRule="auto"/>
      </w:pPr>
      <w:r>
        <w:rPr>
          <w:rFonts w:ascii="Calibri" w:hAnsi="Calibri"/>
          <w:color w:val="262626"/>
          <w:sz w:val="22"/>
        </w:rPr>
        <w:t>Le projet est conçu pour moderniser et sécuriser la diffusion d'annonces de vente et de location haut de gamme tout en dotant les agences professionnelles d'outils de gestion digitale performants.</w:t>
      </w:r>
    </w:p>
    <w:p>
      <w:pPr>
        <w:keepNext/>
        <w:spacing w:before="200" w:after="80"/>
      </w:pPr>
      <w:r>
        <w:rPr>
          <w:rFonts w:ascii="Calibri" w:hAnsi="Calibri"/>
          <w:b/>
          <w:i/>
          <w:color w:val="333333"/>
          <w:sz w:val="22"/>
        </w:rPr>
        <w:t>b. Mission, Vision et Valeurs</w:t>
      </w:r>
    </w:p>
    <w:p>
      <w:pPr>
        <w:spacing w:after="120" w:line="276" w:lineRule="auto"/>
      </w:pPr>
      <w:r>
        <w:rPr>
          <w:rFonts w:ascii="Calibri" w:hAnsi="Calibri"/>
          <w:color w:val="262626"/>
          <w:sz w:val="22"/>
        </w:rPr>
        <w:t>Immo Prestige s'assigne la mission de fournir une expérience utilisateur fluide et hautement sécurisée pour l'accès au logement et l'investissement immobilier au Sénégal.</w:t>
      </w:r>
    </w:p>
    <w:p>
      <w:pPr>
        <w:pStyle w:val="ListBullet"/>
        <w:spacing w:after="80" w:line="276" w:lineRule="auto"/>
      </w:pPr>
      <w:r>
        <w:rPr>
          <w:rFonts w:ascii="Calibri" w:hAnsi="Calibri"/>
          <w:b/>
          <w:color w:val="262626"/>
          <w:sz w:val="21"/>
        </w:rPr>
        <w:t xml:space="preserve">❖ Qualité de service et d'ergonomie : </w:t>
      </w:r>
      <w:r>
        <w:rPr>
          <w:rFonts w:ascii="Calibri" w:hAnsi="Calibri"/>
          <w:color w:val="262626"/>
          <w:sz w:val="21"/>
        </w:rPr>
        <w:t>Offrir une interface moderne, intuitive et réactive sur Web et Mobile.</w:t>
      </w:r>
    </w:p>
    <w:p>
      <w:pPr>
        <w:pStyle w:val="ListBullet"/>
        <w:spacing w:after="80" w:line="276" w:lineRule="auto"/>
      </w:pPr>
      <w:r>
        <w:rPr>
          <w:rFonts w:ascii="Calibri" w:hAnsi="Calibri"/>
          <w:b/>
          <w:color w:val="262626"/>
          <w:sz w:val="21"/>
        </w:rPr>
        <w:t xml:space="preserve">❖ Sécurité et Conformité : </w:t>
      </w:r>
      <w:r>
        <w:rPr>
          <w:rFonts w:ascii="Calibri" w:hAnsi="Calibri"/>
          <w:color w:val="262626"/>
          <w:sz w:val="21"/>
        </w:rPr>
        <w:t>Vérification rigoureuse des agences partenaires (dossiers juridiques, pièces d'identité) et paiements sécurisés via PayDunya.</w:t>
      </w:r>
    </w:p>
    <w:p>
      <w:pPr>
        <w:pStyle w:val="ListBullet"/>
        <w:spacing w:after="80" w:line="276" w:lineRule="auto"/>
      </w:pPr>
      <w:r>
        <w:rPr>
          <w:rFonts w:ascii="Calibri" w:hAnsi="Calibri"/>
          <w:b/>
          <w:color w:val="262626"/>
          <w:sz w:val="21"/>
        </w:rPr>
        <w:t xml:space="preserve">❖ Transparence : </w:t>
      </w:r>
      <w:r>
        <w:rPr>
          <w:rFonts w:ascii="Calibri" w:hAnsi="Calibri"/>
          <w:color w:val="262626"/>
          <w:sz w:val="21"/>
        </w:rPr>
        <w:t>Mise en relation directe via messagerie temps réel et suivi clair de chaque étape de la publication à la location.</w:t>
      </w:r>
    </w:p>
    <w:p>
      <w:pPr>
        <w:keepNext/>
        <w:spacing w:before="200" w:after="80"/>
      </w:pPr>
      <w:r>
        <w:rPr>
          <w:rFonts w:ascii="Calibri" w:hAnsi="Calibri"/>
          <w:b/>
          <w:i/>
          <w:color w:val="333333"/>
          <w:sz w:val="22"/>
        </w:rPr>
        <w:t>c. Organigramme et Architecture Globale du Système</w:t>
      </w:r>
    </w:p>
    <w:p>
      <w:pPr>
        <w:spacing w:after="120" w:line="276" w:lineRule="auto"/>
      </w:pPr>
      <w:r>
        <w:rPr>
          <w:rFonts w:ascii="Calibri" w:hAnsi="Calibri"/>
          <w:color w:val="262626"/>
          <w:sz w:val="22"/>
        </w:rPr>
        <w:t>Le système s'appuie sur un découpage moderne en sous-projets indépendants interconnectés par des API RESTful :</w:t>
      </w:r>
    </w:p>
    <w:p>
      <w:pPr>
        <w:pStyle w:val="ListBullet"/>
        <w:spacing w:after="80" w:line="276" w:lineRule="auto"/>
      </w:pPr>
      <w:r>
        <w:rPr>
          <w:rFonts w:ascii="Calibri" w:hAnsi="Calibri"/>
          <w:b/>
          <w:color w:val="262626"/>
          <w:sz w:val="21"/>
        </w:rPr>
        <w:t xml:space="preserve">1. API Backend REST : </w:t>
      </w:r>
      <w:r>
        <w:rPr>
          <w:rFonts w:ascii="Calibri" w:hAnsi="Calibri"/>
          <w:color w:val="262626"/>
          <w:sz w:val="21"/>
        </w:rPr>
        <w:t>Construit sous Laravel 12 avec authentification Sanctum, base PostgreSQL/SQLite, files d'attente Redis et diffusion temps réel via Laravel Reverb.</w:t>
      </w:r>
    </w:p>
    <w:p>
      <w:pPr>
        <w:pStyle w:val="ListBullet"/>
        <w:spacing w:after="80" w:line="276" w:lineRule="auto"/>
      </w:pPr>
      <w:r>
        <w:rPr>
          <w:rFonts w:ascii="Calibri" w:hAnsi="Calibri"/>
          <w:b/>
          <w:color w:val="262626"/>
          <w:sz w:val="21"/>
        </w:rPr>
        <w:t xml:space="preserve">2. Application Web Client &amp; Agence : </w:t>
      </w:r>
      <w:r>
        <w:rPr>
          <w:rFonts w:ascii="Calibri" w:hAnsi="Calibri"/>
          <w:color w:val="262626"/>
          <w:sz w:val="21"/>
        </w:rPr>
        <w:t>Développée en React 19 et Vite 7 avec Tailwind CSS pour la vitrine publique, le catalogue et le tableau de bord Agence/Admin.</w:t>
      </w:r>
    </w:p>
    <w:p>
      <w:pPr>
        <w:pStyle w:val="ListBullet"/>
        <w:spacing w:after="80" w:line="276" w:lineRule="auto"/>
      </w:pPr>
      <w:r>
        <w:rPr>
          <w:rFonts w:ascii="Calibri" w:hAnsi="Calibri"/>
          <w:b/>
          <w:color w:val="262626"/>
          <w:sz w:val="21"/>
        </w:rPr>
        <w:t xml:space="preserve">3. Application Mobile Native : </w:t>
      </w:r>
      <w:r>
        <w:rPr>
          <w:rFonts w:ascii="Calibri" w:hAnsi="Calibri"/>
          <w:color w:val="262626"/>
          <w:sz w:val="21"/>
        </w:rPr>
        <w:t>Prototype d'application mobile sur iOS et Android développé en React Native et Expo Router.</w:t>
      </w:r>
    </w:p>
    <w:p>
      <w:pPr>
        <w:keepNext/>
        <w:spacing w:before="280" w:after="120"/>
      </w:pPr>
      <w:r>
        <w:rPr>
          <w:rFonts w:ascii="Calibri" w:hAnsi="Calibri"/>
          <w:b/>
          <w:color w:val="2E75B6"/>
          <w:sz w:val="26"/>
        </w:rPr>
        <w:t>II- Étude de l'Existant (Socle Implémenté)</w:t>
      </w:r>
    </w:p>
    <w:p>
      <w:pPr>
        <w:keepNext/>
        <w:spacing w:before="200" w:after="80"/>
      </w:pPr>
      <w:r>
        <w:rPr>
          <w:rFonts w:ascii="Calibri" w:hAnsi="Calibri"/>
          <w:b/>
          <w:i/>
          <w:color w:val="333333"/>
          <w:sz w:val="22"/>
        </w:rPr>
        <w:t>a. Problématique</w:t>
      </w:r>
    </w:p>
    <w:p>
      <w:pPr>
        <w:spacing w:after="120" w:line="276" w:lineRule="auto"/>
      </w:pPr>
      <w:r>
        <w:rPr>
          <w:rFonts w:ascii="Calibri" w:hAnsi="Calibri"/>
          <w:color w:val="262626"/>
          <w:sz w:val="22"/>
        </w:rPr>
        <w:t>La gestion traditionnelle de l'immobilier fait face à de nombreuses lourdeurs : la diffusion d'annonces manque de visibilité centralisée, le traitement des demandes de contact est souvent ralenti, et le suivi manuel des dossiers d'agences pose des problèmes de fiabilité.</w:t>
      </w:r>
    </w:p>
    <w:p>
      <w:pPr>
        <w:keepNext/>
        <w:spacing w:before="200" w:after="80"/>
      </w:pPr>
      <w:r>
        <w:rPr>
          <w:rFonts w:ascii="Calibri" w:hAnsi="Calibri"/>
          <w:b/>
          <w:i/>
          <w:color w:val="333333"/>
          <w:sz w:val="22"/>
        </w:rPr>
        <w:t>b. Objectifs de l'étude et de la plateforme</w:t>
      </w:r>
    </w:p>
    <w:p>
      <w:pPr>
        <w:spacing w:after="120" w:line="276" w:lineRule="auto"/>
      </w:pPr>
      <w:r>
        <w:rPr>
          <w:rFonts w:ascii="Calibri" w:hAnsi="Calibri"/>
          <w:color w:val="262626"/>
          <w:sz w:val="22"/>
        </w:rPr>
        <w:t>La plateforme Immo Prestige vise à apporter des solutions concrètes :</w:t>
      </w:r>
    </w:p>
    <w:p>
      <w:pPr>
        <w:pStyle w:val="ListBullet"/>
        <w:spacing w:after="80" w:line="276" w:lineRule="auto"/>
      </w:pPr>
      <w:r>
        <w:rPr>
          <w:rFonts w:ascii="Calibri" w:hAnsi="Calibri"/>
          <w:b/>
          <w:color w:val="262626"/>
          <w:sz w:val="21"/>
        </w:rPr>
        <w:t xml:space="preserve">✓ Automatisation de la vitrine immobilière : </w:t>
      </w:r>
      <w:r>
        <w:rPr>
          <w:rFonts w:ascii="Calibri" w:hAnsi="Calibri"/>
          <w:color w:val="262626"/>
          <w:sz w:val="21"/>
        </w:rPr>
        <w:t>Permettre aux agences de publier et gérer facilement leur catalogue de biens.</w:t>
      </w:r>
    </w:p>
    <w:p>
      <w:pPr>
        <w:pStyle w:val="ListBullet"/>
        <w:spacing w:after="80" w:line="276" w:lineRule="auto"/>
      </w:pPr>
      <w:r>
        <w:rPr>
          <w:rFonts w:ascii="Calibri" w:hAnsi="Calibri"/>
          <w:b/>
          <w:color w:val="262626"/>
          <w:sz w:val="21"/>
        </w:rPr>
        <w:t xml:space="preserve">✓ Vérification des agences : </w:t>
      </w:r>
      <w:r>
        <w:rPr>
          <w:rFonts w:ascii="Calibri" w:hAnsi="Calibri"/>
          <w:color w:val="262626"/>
          <w:sz w:val="21"/>
        </w:rPr>
        <w:t>Contrôler et valider administrativement les agences avant toute publication.</w:t>
      </w:r>
    </w:p>
    <w:p>
      <w:pPr>
        <w:pStyle w:val="ListBullet"/>
        <w:spacing w:after="80" w:line="276" w:lineRule="auto"/>
      </w:pPr>
      <w:r>
        <w:rPr>
          <w:rFonts w:ascii="Calibri" w:hAnsi="Calibri"/>
          <w:b/>
          <w:color w:val="262626"/>
          <w:sz w:val="21"/>
        </w:rPr>
        <w:t xml:space="preserve">✓ Messagerie instantanée : </w:t>
      </w:r>
      <w:r>
        <w:rPr>
          <w:rFonts w:ascii="Calibri" w:hAnsi="Calibri"/>
          <w:color w:val="262626"/>
          <w:sz w:val="21"/>
        </w:rPr>
        <w:t>Permettre l'échange direct en temps réel entre acheteurs/locataires et agences.</w:t>
      </w:r>
    </w:p>
    <w:p>
      <w:pPr>
        <w:pStyle w:val="ListBullet"/>
        <w:spacing w:after="80" w:line="276" w:lineRule="auto"/>
      </w:pPr>
      <w:r>
        <w:rPr>
          <w:rFonts w:ascii="Calibri" w:hAnsi="Calibri"/>
          <w:b/>
          <w:color w:val="262626"/>
          <w:sz w:val="21"/>
        </w:rPr>
        <w:t xml:space="preserve">✓ Monétisation automatisée : </w:t>
      </w:r>
      <w:r>
        <w:rPr>
          <w:rFonts w:ascii="Calibri" w:hAnsi="Calibri"/>
          <w:color w:val="262626"/>
          <w:sz w:val="21"/>
        </w:rPr>
        <w:t>Proposer des formules d'abonnement et des badges de vérification payables par Mobile Money (PayDunya).</w:t>
      </w:r>
    </w:p>
    <w:p>
      <w:pPr>
        <w:keepNext/>
        <w:spacing w:before="280" w:after="120"/>
      </w:pPr>
      <w:r>
        <w:rPr>
          <w:rFonts w:ascii="Calibri" w:hAnsi="Calibri"/>
          <w:b/>
          <w:color w:val="2E75B6"/>
          <w:sz w:val="26"/>
        </w:rPr>
        <w:t>III- Analyse MERISE du Socle Implémenté</w:t>
      </w:r>
    </w:p>
    <w:p>
      <w:pPr>
        <w:keepNext/>
        <w:spacing w:before="200" w:after="80"/>
      </w:pPr>
      <w:r>
        <w:rPr>
          <w:rFonts w:ascii="Calibri" w:hAnsi="Calibri"/>
          <w:b/>
          <w:i/>
          <w:color w:val="333333"/>
          <w:sz w:val="22"/>
        </w:rPr>
        <w:t>a. La méthode d'analyse MERISE</w:t>
      </w:r>
    </w:p>
    <w:p>
      <w:pPr>
        <w:spacing w:after="120" w:line="276" w:lineRule="auto"/>
      </w:pPr>
      <w:r>
        <w:rPr>
          <w:rFonts w:ascii="Calibri" w:hAnsi="Calibri"/>
          <w:color w:val="262626"/>
          <w:sz w:val="22"/>
        </w:rPr>
        <w:t>MERISE est une méthode d'analyse, de conception et de réalisation de systèmes d'information. Elle propose une démarche séparant les données et les traitements sur quatre niveaux d'abstraction : Conceptuel, Organisationnel, Logique et Physique.</w:t>
      </w:r>
    </w:p>
    <w:p>
      <w:pPr>
        <w:keepNext/>
        <w:spacing w:before="200" w:after="80"/>
      </w:pPr>
      <w:r>
        <w:rPr>
          <w:rFonts w:ascii="Calibri" w:hAnsi="Calibri"/>
          <w:b/>
          <w:i/>
          <w:color w:val="333333"/>
          <w:sz w:val="22"/>
        </w:rPr>
        <w:t>b. Modèle Conceptuel de Communication (MCC)</w:t>
      </w:r>
    </w:p>
    <w:p>
      <w:pPr>
        <w:spacing w:after="120" w:line="276" w:lineRule="auto"/>
      </w:pPr>
      <w:r>
        <w:rPr>
          <w:rFonts w:ascii="Calibri" w:hAnsi="Calibri"/>
          <w:color w:val="262626"/>
          <w:sz w:val="22"/>
        </w:rPr>
        <w:t>Le MCC modélise les échanges d'information entre les acteurs du système. Pour Immo Prestige, nous identifions six acteurs majeurs :</w:t>
      </w:r>
    </w:p>
    <w:p>
      <w:pPr>
        <w:pStyle w:val="ListBullet"/>
        <w:spacing w:after="80" w:line="276" w:lineRule="auto"/>
      </w:pPr>
      <w:r>
        <w:rPr>
          <w:rFonts w:ascii="Calibri" w:hAnsi="Calibri"/>
          <w:b/>
          <w:color w:val="262626"/>
          <w:sz w:val="21"/>
        </w:rPr>
        <w:t xml:space="preserve">• Visiteur : </w:t>
      </w:r>
      <w:r>
        <w:rPr>
          <w:rFonts w:ascii="Calibri" w:hAnsi="Calibri"/>
          <w:color w:val="262626"/>
          <w:sz w:val="21"/>
        </w:rPr>
        <w:t>Utilisateur non authentifié consultant le catalogue.</w:t>
      </w:r>
    </w:p>
    <w:p>
      <w:pPr>
        <w:pStyle w:val="ListBullet"/>
        <w:spacing w:after="80" w:line="276" w:lineRule="auto"/>
      </w:pPr>
      <w:r>
        <w:rPr>
          <w:rFonts w:ascii="Calibri" w:hAnsi="Calibri"/>
          <w:b/>
          <w:color w:val="262626"/>
          <w:sz w:val="21"/>
        </w:rPr>
        <w:t xml:space="preserve">• Client : </w:t>
      </w:r>
      <w:r>
        <w:rPr>
          <w:rFonts w:ascii="Calibri" w:hAnsi="Calibri"/>
          <w:color w:val="262626"/>
          <w:sz w:val="21"/>
        </w:rPr>
        <w:t>Utilisateur authentifié (role=user) pouvant aimer, commenter et contacter les agences.</w:t>
      </w:r>
    </w:p>
    <w:p>
      <w:pPr>
        <w:pStyle w:val="ListBullet"/>
        <w:spacing w:after="80" w:line="276" w:lineRule="auto"/>
      </w:pPr>
      <w:r>
        <w:rPr>
          <w:rFonts w:ascii="Calibri" w:hAnsi="Calibri"/>
          <w:b/>
          <w:color w:val="262626"/>
          <w:sz w:val="21"/>
        </w:rPr>
        <w:t xml:space="preserve">• Agence : </w:t>
      </w:r>
      <w:r>
        <w:rPr>
          <w:rFonts w:ascii="Calibri" w:hAnsi="Calibri"/>
          <w:color w:val="262626"/>
          <w:sz w:val="21"/>
        </w:rPr>
        <w:t>Structure professionnelle (role=agency) gérant son parc de biens et ses abonnements.</w:t>
      </w:r>
    </w:p>
    <w:p>
      <w:pPr>
        <w:pStyle w:val="ListBullet"/>
        <w:spacing w:after="80" w:line="276" w:lineRule="auto"/>
      </w:pPr>
      <w:r>
        <w:rPr>
          <w:rFonts w:ascii="Calibri" w:hAnsi="Calibri"/>
          <w:b/>
          <w:color w:val="262626"/>
          <w:sz w:val="21"/>
        </w:rPr>
        <w:t xml:space="preserve">• Administrateur : </w:t>
      </w:r>
      <w:r>
        <w:rPr>
          <w:rFonts w:ascii="Calibri" w:hAnsi="Calibri"/>
          <w:color w:val="262626"/>
          <w:sz w:val="21"/>
        </w:rPr>
        <w:t>Superviseur de la plateforme (role=admin) validant les agences et la modération.</w:t>
      </w:r>
    </w:p>
    <w:p>
      <w:pPr>
        <w:pStyle w:val="ListBullet"/>
        <w:spacing w:after="80" w:line="276" w:lineRule="auto"/>
      </w:pPr>
      <w:r>
        <w:rPr>
          <w:rFonts w:ascii="Calibri" w:hAnsi="Calibri"/>
          <w:b/>
          <w:color w:val="262626"/>
          <w:sz w:val="21"/>
        </w:rPr>
        <w:t xml:space="preserve">• Système ImmoPrestige : </w:t>
      </w:r>
      <w:r>
        <w:rPr>
          <w:rFonts w:ascii="Calibri" w:hAnsi="Calibri"/>
          <w:color w:val="262626"/>
          <w:sz w:val="21"/>
        </w:rPr>
        <w:t>API Backend Laravel exécutant les règles de gestion.</w:t>
      </w:r>
    </w:p>
    <w:p>
      <w:pPr>
        <w:pStyle w:val="ListBullet"/>
        <w:spacing w:after="80" w:line="276" w:lineRule="auto"/>
      </w:pPr>
      <w:r>
        <w:rPr>
          <w:rFonts w:ascii="Calibri" w:hAnsi="Calibri"/>
          <w:b/>
          <w:color w:val="262626"/>
          <w:sz w:val="21"/>
        </w:rPr>
        <w:t xml:space="preserve">• PayDunya : </w:t>
      </w:r>
      <w:r>
        <w:rPr>
          <w:rFonts w:ascii="Calibri" w:hAnsi="Calibri"/>
          <w:color w:val="262626"/>
          <w:sz w:val="21"/>
        </w:rPr>
        <w:t>Prestataire de paiement externe pour Mobile Money et cartes bancaires.</w:t>
      </w:r>
    </w:p>
    <w:p>
      <w:pPr>
        <w:spacing w:after="120" w:line="276" w:lineRule="auto"/>
      </w:pPr>
      <w:r>
        <w:rPr>
          <w:rFonts w:ascii="Calibri" w:hAnsi="Calibri"/>
          <w:b/>
          <w:color w:val="262626"/>
          <w:sz w:val="22"/>
        </w:rPr>
        <w:t xml:space="preserve">Flux du MCC : </w:t>
      </w:r>
      <w:r>
        <w:rPr>
          <w:rFonts w:ascii="Calibri" w:hAnsi="Calibri"/>
          <w:color w:val="262626"/>
          <w:sz w:val="22"/>
        </w:rPr>
        <w:t>Tableau synthétique des flux de communication (F1 à F24) :</w:t>
      </w:r>
    </w:p>
    <w:tbl>
      <w:tblPr>
        <w:tblW w:type="auto" w:w="0"/>
        <w:tblLook w:firstColumn="1" w:firstRow="1" w:lastColumn="0" w:lastRow="0" w:noHBand="0" w:noVBand="1" w:val="04A0"/>
        <w:tblBorders>
          <w:top w:val="single" w:sz="6" w:space="0" w:color="CCCCCC"/>
          <w:bottom w:val="single" w:sz="6" w:space="0" w:color="CCCCCC"/>
          <w:insideH w:val="single" w:sz="4" w:space="0" w:color="CCCCCC"/>
          <w:insideV w:val="none"/>
          <w:left w:val="none"/>
          <w:right w:val="none"/>
        </w:tblBorders>
      </w:tblPr>
      <w:tblGrid>
        <w:gridCol w:w="2340"/>
        <w:gridCol w:w="2340"/>
        <w:gridCol w:w="2340"/>
        <w:gridCol w:w="2340"/>
      </w:tblGrid>
      <w:tr>
        <w:tc>
          <w:tcPr>
            <w:tcW w:type="dxa" w:w="2340"/>
            <w:shd w:fill="1F4E78"/>
          </w:tcPr>
          <w:p>
            <w:pPr>
              <w:spacing w:before="120" w:after="120"/>
              <w:jc w:val="left"/>
            </w:pPr>
            <w:r>
              <w:rPr>
                <w:rFonts w:ascii="Calibri" w:hAnsi="Calibri"/>
                <w:b/>
                <w:color w:val="FFFFFF"/>
                <w:sz w:val="20"/>
              </w:rPr>
              <w:t>N°</w:t>
            </w:r>
          </w:p>
        </w:tc>
        <w:tc>
          <w:tcPr>
            <w:tcW w:type="dxa" w:w="2340"/>
            <w:shd w:fill="1F4E78"/>
          </w:tcPr>
          <w:p>
            <w:pPr>
              <w:spacing w:before="120" w:after="120"/>
              <w:jc w:val="left"/>
            </w:pPr>
            <w:r>
              <w:rPr>
                <w:rFonts w:ascii="Calibri" w:hAnsi="Calibri"/>
                <w:b/>
                <w:color w:val="FFFFFF"/>
                <w:sz w:val="20"/>
              </w:rPr>
              <w:t>Émetteur</w:t>
            </w:r>
          </w:p>
        </w:tc>
        <w:tc>
          <w:tcPr>
            <w:tcW w:type="dxa" w:w="2340"/>
            <w:shd w:fill="1F4E78"/>
          </w:tcPr>
          <w:p>
            <w:pPr>
              <w:spacing w:before="120" w:after="120"/>
              <w:jc w:val="left"/>
            </w:pPr>
            <w:r>
              <w:rPr>
                <w:rFonts w:ascii="Calibri" w:hAnsi="Calibri"/>
                <w:b/>
                <w:color w:val="FFFFFF"/>
                <w:sz w:val="20"/>
              </w:rPr>
              <w:t>Récepteur</w:t>
            </w:r>
          </w:p>
        </w:tc>
        <w:tc>
          <w:tcPr>
            <w:tcW w:type="dxa" w:w="2340"/>
            <w:shd w:fill="1F4E78"/>
          </w:tcPr>
          <w:p>
            <w:pPr>
              <w:spacing w:before="120" w:after="120"/>
              <w:jc w:val="left"/>
            </w:pPr>
            <w:r>
              <w:rPr>
                <w:rFonts w:ascii="Calibri" w:hAnsi="Calibri"/>
                <w:b/>
                <w:color w:val="FFFFFF"/>
                <w:sz w:val="20"/>
              </w:rPr>
              <w:t>Description du Flux d'Information</w:t>
            </w:r>
          </w:p>
        </w:tc>
      </w:tr>
      <w:tr>
        <w:tc>
          <w:tcPr>
            <w:tcW w:type="dxa" w:w="864"/>
            <w:shd w:fill="F9FAFC"/>
          </w:tcPr>
          <w:p>
            <w:pPr>
              <w:spacing w:before="80" w:after="80"/>
              <w:jc w:val="left"/>
            </w:pPr>
            <w:r>
              <w:rPr>
                <w:rFonts w:ascii="Calibri" w:hAnsi="Calibri"/>
                <w:b/>
                <w:i w:val="0"/>
                <w:color w:val="262626"/>
                <w:sz w:val="19"/>
              </w:rPr>
              <w:t>F1</w:t>
            </w:r>
          </w:p>
        </w:tc>
        <w:tc>
          <w:tcPr>
            <w:tcW w:type="dxa" w:w="1728"/>
            <w:shd w:fill="F9FAFC"/>
          </w:tcPr>
          <w:p>
            <w:pPr>
              <w:spacing w:before="80" w:after="80"/>
              <w:jc w:val="left"/>
            </w:pPr>
            <w:r>
              <w:rPr>
                <w:rFonts w:ascii="Calibri" w:hAnsi="Calibri"/>
                <w:b w:val="0"/>
                <w:i w:val="0"/>
                <w:color w:val="262626"/>
                <w:sz w:val="19"/>
              </w:rPr>
              <w:t>Agence</w:t>
            </w:r>
          </w:p>
        </w:tc>
        <w:tc>
          <w:tcPr>
            <w:tcW w:type="dxa" w:w="2016"/>
            <w:shd w:fill="F9FAFC"/>
          </w:tcPr>
          <w:p>
            <w:pPr>
              <w:spacing w:before="80" w:after="80"/>
              <w:jc w:val="left"/>
            </w:pPr>
            <w:r>
              <w:rPr>
                <w:rFonts w:ascii="Calibri" w:hAnsi="Calibri"/>
                <w:b w:val="0"/>
                <w:i w:val="0"/>
                <w:color w:val="262626"/>
                <w:sz w:val="19"/>
              </w:rPr>
              <w:t>Système</w:t>
            </w:r>
          </w:p>
        </w:tc>
        <w:tc>
          <w:tcPr>
            <w:tcW w:type="dxa" w:w="4752"/>
            <w:shd w:fill="F9FAFC"/>
          </w:tcPr>
          <w:p>
            <w:pPr>
              <w:spacing w:before="80" w:after="80"/>
              <w:jc w:val="left"/>
            </w:pPr>
            <w:r>
              <w:rPr>
                <w:rFonts w:ascii="Calibri" w:hAnsi="Calibri"/>
                <w:b w:val="0"/>
                <w:i w:val="0"/>
                <w:color w:val="262626"/>
                <w:sz w:val="19"/>
              </w:rPr>
              <w:t>Soumission du dossier d'inscription d'agence (pièces justificatives)</w:t>
            </w:r>
          </w:p>
        </w:tc>
      </w:tr>
      <w:tr>
        <w:tc>
          <w:tcPr>
            <w:tcW w:type="dxa" w:w="864"/>
            <w:shd w:fill="FFFFFF"/>
          </w:tcPr>
          <w:p>
            <w:pPr>
              <w:spacing w:before="80" w:after="80"/>
              <w:jc w:val="left"/>
            </w:pPr>
            <w:r>
              <w:rPr>
                <w:rFonts w:ascii="Calibri" w:hAnsi="Calibri"/>
                <w:b/>
                <w:i w:val="0"/>
                <w:color w:val="262626"/>
                <w:sz w:val="19"/>
              </w:rPr>
              <w:t>F2</w:t>
            </w:r>
          </w:p>
        </w:tc>
        <w:tc>
          <w:tcPr>
            <w:tcW w:type="dxa" w:w="1728"/>
            <w:shd w:fill="FFFFFF"/>
          </w:tcPr>
          <w:p>
            <w:pPr>
              <w:spacing w:before="80" w:after="80"/>
              <w:jc w:val="left"/>
            </w:pPr>
            <w:r>
              <w:rPr>
                <w:rFonts w:ascii="Calibri" w:hAnsi="Calibri"/>
                <w:b w:val="0"/>
                <w:i w:val="0"/>
                <w:color w:val="262626"/>
                <w:sz w:val="19"/>
              </w:rPr>
              <w:t>Système</w:t>
            </w:r>
          </w:p>
        </w:tc>
        <w:tc>
          <w:tcPr>
            <w:tcW w:type="dxa" w:w="2016"/>
            <w:shd w:fill="FFFFFF"/>
          </w:tcPr>
          <w:p>
            <w:pPr>
              <w:spacing w:before="80" w:after="80"/>
              <w:jc w:val="left"/>
            </w:pPr>
            <w:r>
              <w:rPr>
                <w:rFonts w:ascii="Calibri" w:hAnsi="Calibri"/>
                <w:b w:val="0"/>
                <w:i w:val="0"/>
                <w:color w:val="262626"/>
                <w:sz w:val="19"/>
              </w:rPr>
              <w:t>Administrateur</w:t>
            </w:r>
          </w:p>
        </w:tc>
        <w:tc>
          <w:tcPr>
            <w:tcW w:type="dxa" w:w="4752"/>
            <w:shd w:fill="FFFFFF"/>
          </w:tcPr>
          <w:p>
            <w:pPr>
              <w:spacing w:before="80" w:after="80"/>
              <w:jc w:val="left"/>
            </w:pPr>
            <w:r>
              <w:rPr>
                <w:rFonts w:ascii="Calibri" w:hAnsi="Calibri"/>
                <w:b w:val="0"/>
                <w:i w:val="0"/>
                <w:color w:val="262626"/>
                <w:sz w:val="19"/>
              </w:rPr>
              <w:t>Transmission du dossier d'agence en attente de validation</w:t>
            </w:r>
          </w:p>
        </w:tc>
      </w:tr>
      <w:tr>
        <w:tc>
          <w:tcPr>
            <w:tcW w:type="dxa" w:w="864"/>
            <w:shd w:fill="F9FAFC"/>
          </w:tcPr>
          <w:p>
            <w:pPr>
              <w:spacing w:before="80" w:after="80"/>
              <w:jc w:val="left"/>
            </w:pPr>
            <w:r>
              <w:rPr>
                <w:rFonts w:ascii="Calibri" w:hAnsi="Calibri"/>
                <w:b/>
                <w:i w:val="0"/>
                <w:color w:val="262626"/>
                <w:sz w:val="19"/>
              </w:rPr>
              <w:t>F3</w:t>
            </w:r>
          </w:p>
        </w:tc>
        <w:tc>
          <w:tcPr>
            <w:tcW w:type="dxa" w:w="1728"/>
            <w:shd w:fill="F9FAFC"/>
          </w:tcPr>
          <w:p>
            <w:pPr>
              <w:spacing w:before="80" w:after="80"/>
              <w:jc w:val="left"/>
            </w:pPr>
            <w:r>
              <w:rPr>
                <w:rFonts w:ascii="Calibri" w:hAnsi="Calibri"/>
                <w:b w:val="0"/>
                <w:i w:val="0"/>
                <w:color w:val="262626"/>
                <w:sz w:val="19"/>
              </w:rPr>
              <w:t>Administrateur</w:t>
            </w:r>
          </w:p>
        </w:tc>
        <w:tc>
          <w:tcPr>
            <w:tcW w:type="dxa" w:w="2016"/>
            <w:shd w:fill="F9FAFC"/>
          </w:tcPr>
          <w:p>
            <w:pPr>
              <w:spacing w:before="80" w:after="80"/>
              <w:jc w:val="left"/>
            </w:pPr>
            <w:r>
              <w:rPr>
                <w:rFonts w:ascii="Calibri" w:hAnsi="Calibri"/>
                <w:b w:val="0"/>
                <w:i w:val="0"/>
                <w:color w:val="262626"/>
                <w:sz w:val="19"/>
              </w:rPr>
              <w:t>Système</w:t>
            </w:r>
          </w:p>
        </w:tc>
        <w:tc>
          <w:tcPr>
            <w:tcW w:type="dxa" w:w="4752"/>
            <w:shd w:fill="F9FAFC"/>
          </w:tcPr>
          <w:p>
            <w:pPr>
              <w:spacing w:before="80" w:after="80"/>
              <w:jc w:val="left"/>
            </w:pPr>
            <w:r>
              <w:rPr>
                <w:rFonts w:ascii="Calibri" w:hAnsi="Calibri"/>
                <w:b w:val="0"/>
                <w:i w:val="0"/>
                <w:color w:val="262626"/>
                <w:sz w:val="19"/>
              </w:rPr>
              <w:t>Décision de validation (Acceptation ou Refus + motif)</w:t>
            </w:r>
          </w:p>
        </w:tc>
      </w:tr>
      <w:tr>
        <w:tc>
          <w:tcPr>
            <w:tcW w:type="dxa" w:w="864"/>
            <w:shd w:fill="FFFFFF"/>
          </w:tcPr>
          <w:p>
            <w:pPr>
              <w:spacing w:before="80" w:after="80"/>
              <w:jc w:val="left"/>
            </w:pPr>
            <w:r>
              <w:rPr>
                <w:rFonts w:ascii="Calibri" w:hAnsi="Calibri"/>
                <w:b/>
                <w:i w:val="0"/>
                <w:color w:val="262626"/>
                <w:sz w:val="19"/>
              </w:rPr>
              <w:t>F4</w:t>
            </w:r>
          </w:p>
        </w:tc>
        <w:tc>
          <w:tcPr>
            <w:tcW w:type="dxa" w:w="1728"/>
            <w:shd w:fill="FFFFFF"/>
          </w:tcPr>
          <w:p>
            <w:pPr>
              <w:spacing w:before="80" w:after="80"/>
              <w:jc w:val="left"/>
            </w:pPr>
            <w:r>
              <w:rPr>
                <w:rFonts w:ascii="Calibri" w:hAnsi="Calibri"/>
                <w:b w:val="0"/>
                <w:i w:val="0"/>
                <w:color w:val="262626"/>
                <w:sz w:val="19"/>
              </w:rPr>
              <w:t>Système</w:t>
            </w:r>
          </w:p>
        </w:tc>
        <w:tc>
          <w:tcPr>
            <w:tcW w:type="dxa" w:w="2016"/>
            <w:shd w:fill="FFFFFF"/>
          </w:tcPr>
          <w:p>
            <w:pPr>
              <w:spacing w:before="80" w:after="80"/>
              <w:jc w:val="left"/>
            </w:pPr>
            <w:r>
              <w:rPr>
                <w:rFonts w:ascii="Calibri" w:hAnsi="Calibri"/>
                <w:b w:val="0"/>
                <w:i w:val="0"/>
                <w:color w:val="262626"/>
                <w:sz w:val="19"/>
              </w:rPr>
              <w:t>Agence</w:t>
            </w:r>
          </w:p>
        </w:tc>
        <w:tc>
          <w:tcPr>
            <w:tcW w:type="dxa" w:w="4752"/>
            <w:shd w:fill="FFFFFF"/>
          </w:tcPr>
          <w:p>
            <w:pPr>
              <w:spacing w:before="80" w:after="80"/>
              <w:jc w:val="left"/>
            </w:pPr>
            <w:r>
              <w:rPr>
                <w:rFonts w:ascii="Calibri" w:hAnsi="Calibri"/>
                <w:b w:val="0"/>
                <w:i w:val="0"/>
                <w:color w:val="262626"/>
                <w:sz w:val="19"/>
              </w:rPr>
              <w:t>Notification de la décision + lien de création de mot de passe (si acceptée)</w:t>
            </w:r>
          </w:p>
        </w:tc>
      </w:tr>
      <w:tr>
        <w:tc>
          <w:tcPr>
            <w:tcW w:type="dxa" w:w="864"/>
            <w:shd w:fill="F9FAFC"/>
          </w:tcPr>
          <w:p>
            <w:pPr>
              <w:spacing w:before="80" w:after="80"/>
              <w:jc w:val="left"/>
            </w:pPr>
            <w:r>
              <w:rPr>
                <w:rFonts w:ascii="Calibri" w:hAnsi="Calibri"/>
                <w:b/>
                <w:i w:val="0"/>
                <w:color w:val="262626"/>
                <w:sz w:val="19"/>
              </w:rPr>
              <w:t>F5</w:t>
            </w:r>
          </w:p>
        </w:tc>
        <w:tc>
          <w:tcPr>
            <w:tcW w:type="dxa" w:w="1728"/>
            <w:shd w:fill="F9FAFC"/>
          </w:tcPr>
          <w:p>
            <w:pPr>
              <w:spacing w:before="80" w:after="80"/>
              <w:jc w:val="left"/>
            </w:pPr>
            <w:r>
              <w:rPr>
                <w:rFonts w:ascii="Calibri" w:hAnsi="Calibri"/>
                <w:b w:val="0"/>
                <w:i w:val="0"/>
                <w:color w:val="262626"/>
                <w:sz w:val="19"/>
              </w:rPr>
              <w:t>Agence</w:t>
            </w:r>
          </w:p>
        </w:tc>
        <w:tc>
          <w:tcPr>
            <w:tcW w:type="dxa" w:w="2016"/>
            <w:shd w:fill="F9FAFC"/>
          </w:tcPr>
          <w:p>
            <w:pPr>
              <w:spacing w:before="80" w:after="80"/>
              <w:jc w:val="left"/>
            </w:pPr>
            <w:r>
              <w:rPr>
                <w:rFonts w:ascii="Calibri" w:hAnsi="Calibri"/>
                <w:b w:val="0"/>
                <w:i w:val="0"/>
                <w:color w:val="262626"/>
                <w:sz w:val="19"/>
              </w:rPr>
              <w:t>Système</w:t>
            </w:r>
          </w:p>
        </w:tc>
        <w:tc>
          <w:tcPr>
            <w:tcW w:type="dxa" w:w="4752"/>
            <w:shd w:fill="F9FAFC"/>
          </w:tcPr>
          <w:p>
            <w:pPr>
              <w:spacing w:before="80" w:after="80"/>
              <w:jc w:val="left"/>
            </w:pPr>
            <w:r>
              <w:rPr>
                <w:rFonts w:ascii="Calibri" w:hAnsi="Calibri"/>
                <w:b w:val="0"/>
                <w:i w:val="0"/>
                <w:color w:val="262626"/>
                <w:sz w:val="19"/>
              </w:rPr>
              <w:t>Définition du mot de passe via jeton sécurisé (24h)</w:t>
            </w:r>
          </w:p>
        </w:tc>
      </w:tr>
      <w:tr>
        <w:tc>
          <w:tcPr>
            <w:tcW w:type="dxa" w:w="864"/>
            <w:shd w:fill="FFFFFF"/>
          </w:tcPr>
          <w:p>
            <w:pPr>
              <w:spacing w:before="80" w:after="80"/>
              <w:jc w:val="left"/>
            </w:pPr>
            <w:r>
              <w:rPr>
                <w:rFonts w:ascii="Calibri" w:hAnsi="Calibri"/>
                <w:b/>
                <w:i w:val="0"/>
                <w:color w:val="262626"/>
                <w:sz w:val="19"/>
              </w:rPr>
              <w:t>F6</w:t>
            </w:r>
          </w:p>
        </w:tc>
        <w:tc>
          <w:tcPr>
            <w:tcW w:type="dxa" w:w="1728"/>
            <w:shd w:fill="FFFFFF"/>
          </w:tcPr>
          <w:p>
            <w:pPr>
              <w:spacing w:before="80" w:after="80"/>
              <w:jc w:val="left"/>
            </w:pPr>
            <w:r>
              <w:rPr>
                <w:rFonts w:ascii="Calibri" w:hAnsi="Calibri"/>
                <w:b w:val="0"/>
                <w:i w:val="0"/>
                <w:color w:val="262626"/>
                <w:sz w:val="19"/>
              </w:rPr>
              <w:t>Agence</w:t>
            </w:r>
          </w:p>
        </w:tc>
        <w:tc>
          <w:tcPr>
            <w:tcW w:type="dxa" w:w="2016"/>
            <w:shd w:fill="FFFFFF"/>
          </w:tcPr>
          <w:p>
            <w:pPr>
              <w:spacing w:before="80" w:after="80"/>
              <w:jc w:val="left"/>
            </w:pPr>
            <w:r>
              <w:rPr>
                <w:rFonts w:ascii="Calibri" w:hAnsi="Calibri"/>
                <w:b w:val="0"/>
                <w:i w:val="0"/>
                <w:color w:val="262626"/>
                <w:sz w:val="19"/>
              </w:rPr>
              <w:t>Système</w:t>
            </w:r>
          </w:p>
        </w:tc>
        <w:tc>
          <w:tcPr>
            <w:tcW w:type="dxa" w:w="4752"/>
            <w:shd w:fill="FFFFFF"/>
          </w:tcPr>
          <w:p>
            <w:pPr>
              <w:spacing w:before="80" w:after="80"/>
              <w:jc w:val="left"/>
            </w:pPr>
            <w:r>
              <w:rPr>
                <w:rFonts w:ascii="Calibri" w:hAnsi="Calibri"/>
                <w:b w:val="0"/>
                <w:i w:val="0"/>
                <w:color w:val="262626"/>
                <w:sz w:val="19"/>
              </w:rPr>
              <w:t>Resoumission du dossier corrigé (en cas de refus)</w:t>
            </w:r>
          </w:p>
        </w:tc>
      </w:tr>
      <w:tr>
        <w:tc>
          <w:tcPr>
            <w:tcW w:type="dxa" w:w="864"/>
            <w:shd w:fill="F9FAFC"/>
          </w:tcPr>
          <w:p>
            <w:pPr>
              <w:spacing w:before="80" w:after="80"/>
              <w:jc w:val="left"/>
            </w:pPr>
            <w:r>
              <w:rPr>
                <w:rFonts w:ascii="Calibri" w:hAnsi="Calibri"/>
                <w:b/>
                <w:i w:val="0"/>
                <w:color w:val="262626"/>
                <w:sz w:val="19"/>
              </w:rPr>
              <w:t>F7</w:t>
            </w:r>
          </w:p>
        </w:tc>
        <w:tc>
          <w:tcPr>
            <w:tcW w:type="dxa" w:w="1728"/>
            <w:shd w:fill="F9FAFC"/>
          </w:tcPr>
          <w:p>
            <w:pPr>
              <w:spacing w:before="80" w:after="80"/>
              <w:jc w:val="left"/>
            </w:pPr>
            <w:r>
              <w:rPr>
                <w:rFonts w:ascii="Calibri" w:hAnsi="Calibri"/>
                <w:b w:val="0"/>
                <w:i w:val="0"/>
                <w:color w:val="262626"/>
                <w:sz w:val="19"/>
              </w:rPr>
              <w:t>Agence</w:t>
            </w:r>
          </w:p>
        </w:tc>
        <w:tc>
          <w:tcPr>
            <w:tcW w:type="dxa" w:w="2016"/>
            <w:shd w:fill="F9FAFC"/>
          </w:tcPr>
          <w:p>
            <w:pPr>
              <w:spacing w:before="80" w:after="80"/>
              <w:jc w:val="left"/>
            </w:pPr>
            <w:r>
              <w:rPr>
                <w:rFonts w:ascii="Calibri" w:hAnsi="Calibri"/>
                <w:b w:val="0"/>
                <w:i w:val="0"/>
                <w:color w:val="262626"/>
                <w:sz w:val="19"/>
              </w:rPr>
              <w:t>Système</w:t>
            </w:r>
          </w:p>
        </w:tc>
        <w:tc>
          <w:tcPr>
            <w:tcW w:type="dxa" w:w="4752"/>
            <w:shd w:fill="F9FAFC"/>
          </w:tcPr>
          <w:p>
            <w:pPr>
              <w:spacing w:before="80" w:after="80"/>
              <w:jc w:val="left"/>
            </w:pPr>
            <w:r>
              <w:rPr>
                <w:rFonts w:ascii="Calibri" w:hAnsi="Calibri"/>
                <w:b w:val="0"/>
                <w:i w:val="0"/>
                <w:color w:val="262626"/>
                <w:sz w:val="19"/>
              </w:rPr>
              <w:t>Demande de souscription à un plan d'abonnement / badge vérifié</w:t>
            </w:r>
          </w:p>
        </w:tc>
      </w:tr>
      <w:tr>
        <w:tc>
          <w:tcPr>
            <w:tcW w:type="dxa" w:w="864"/>
            <w:shd w:fill="FFFFFF"/>
          </w:tcPr>
          <w:p>
            <w:pPr>
              <w:spacing w:before="80" w:after="80"/>
              <w:jc w:val="left"/>
            </w:pPr>
            <w:r>
              <w:rPr>
                <w:rFonts w:ascii="Calibri" w:hAnsi="Calibri"/>
                <w:b/>
                <w:i w:val="0"/>
                <w:color w:val="262626"/>
                <w:sz w:val="19"/>
              </w:rPr>
              <w:t>F8</w:t>
            </w:r>
          </w:p>
        </w:tc>
        <w:tc>
          <w:tcPr>
            <w:tcW w:type="dxa" w:w="1728"/>
            <w:shd w:fill="FFFFFF"/>
          </w:tcPr>
          <w:p>
            <w:pPr>
              <w:spacing w:before="80" w:after="80"/>
              <w:jc w:val="left"/>
            </w:pPr>
            <w:r>
              <w:rPr>
                <w:rFonts w:ascii="Calibri" w:hAnsi="Calibri"/>
                <w:b w:val="0"/>
                <w:i w:val="0"/>
                <w:color w:val="262626"/>
                <w:sz w:val="19"/>
              </w:rPr>
              <w:t>Système</w:t>
            </w:r>
          </w:p>
        </w:tc>
        <w:tc>
          <w:tcPr>
            <w:tcW w:type="dxa" w:w="2016"/>
            <w:shd w:fill="FFFFFF"/>
          </w:tcPr>
          <w:p>
            <w:pPr>
              <w:spacing w:before="80" w:after="80"/>
              <w:jc w:val="left"/>
            </w:pPr>
            <w:r>
              <w:rPr>
                <w:rFonts w:ascii="Calibri" w:hAnsi="Calibri"/>
                <w:b w:val="0"/>
                <w:i w:val="0"/>
                <w:color w:val="262626"/>
                <w:sz w:val="19"/>
              </w:rPr>
              <w:t>PayDunya</w:t>
            </w:r>
          </w:p>
        </w:tc>
        <w:tc>
          <w:tcPr>
            <w:tcW w:type="dxa" w:w="4752"/>
            <w:shd w:fill="FFFFFF"/>
          </w:tcPr>
          <w:p>
            <w:pPr>
              <w:spacing w:before="80" w:after="80"/>
              <w:jc w:val="left"/>
            </w:pPr>
            <w:r>
              <w:rPr>
                <w:rFonts w:ascii="Calibri" w:hAnsi="Calibri"/>
                <w:b w:val="0"/>
                <w:i w:val="0"/>
                <w:color w:val="262626"/>
                <w:sz w:val="19"/>
              </w:rPr>
              <w:t>Création de la facture de paiement (invoice PayDunya)</w:t>
            </w:r>
          </w:p>
        </w:tc>
      </w:tr>
      <w:tr>
        <w:tc>
          <w:tcPr>
            <w:tcW w:type="dxa" w:w="864"/>
            <w:shd w:fill="F9FAFC"/>
          </w:tcPr>
          <w:p>
            <w:pPr>
              <w:spacing w:before="80" w:after="80"/>
              <w:jc w:val="left"/>
            </w:pPr>
            <w:r>
              <w:rPr>
                <w:rFonts w:ascii="Calibri" w:hAnsi="Calibri"/>
                <w:b/>
                <w:i w:val="0"/>
                <w:color w:val="262626"/>
                <w:sz w:val="19"/>
              </w:rPr>
              <w:t>F9</w:t>
            </w:r>
          </w:p>
        </w:tc>
        <w:tc>
          <w:tcPr>
            <w:tcW w:type="dxa" w:w="1728"/>
            <w:shd w:fill="F9FAFC"/>
          </w:tcPr>
          <w:p>
            <w:pPr>
              <w:spacing w:before="80" w:after="80"/>
              <w:jc w:val="left"/>
            </w:pPr>
            <w:r>
              <w:rPr>
                <w:rFonts w:ascii="Calibri" w:hAnsi="Calibri"/>
                <w:b w:val="0"/>
                <w:i w:val="0"/>
                <w:color w:val="262626"/>
                <w:sz w:val="19"/>
              </w:rPr>
              <w:t>PayDunya</w:t>
            </w:r>
          </w:p>
        </w:tc>
        <w:tc>
          <w:tcPr>
            <w:tcW w:type="dxa" w:w="2016"/>
            <w:shd w:fill="F9FAFC"/>
          </w:tcPr>
          <w:p>
            <w:pPr>
              <w:spacing w:before="80" w:after="80"/>
              <w:jc w:val="left"/>
            </w:pPr>
            <w:r>
              <w:rPr>
                <w:rFonts w:ascii="Calibri" w:hAnsi="Calibri"/>
                <w:b w:val="0"/>
                <w:i w:val="0"/>
                <w:color w:val="262626"/>
                <w:sz w:val="19"/>
              </w:rPr>
              <w:t>Agence</w:t>
            </w:r>
          </w:p>
        </w:tc>
        <w:tc>
          <w:tcPr>
            <w:tcW w:type="dxa" w:w="4752"/>
            <w:shd w:fill="F9FAFC"/>
          </w:tcPr>
          <w:p>
            <w:pPr>
              <w:spacing w:before="80" w:after="80"/>
              <w:jc w:val="left"/>
            </w:pPr>
            <w:r>
              <w:rPr>
                <w:rFonts w:ascii="Calibri" w:hAnsi="Calibri"/>
                <w:b w:val="0"/>
                <w:i w:val="0"/>
                <w:color w:val="262626"/>
                <w:sz w:val="19"/>
              </w:rPr>
              <w:t>Redirection vers le guichet de paiement sécurisé</w:t>
            </w:r>
          </w:p>
        </w:tc>
      </w:tr>
      <w:tr>
        <w:tc>
          <w:tcPr>
            <w:tcW w:type="dxa" w:w="864"/>
            <w:shd w:fill="FFFFFF"/>
          </w:tcPr>
          <w:p>
            <w:pPr>
              <w:spacing w:before="80" w:after="80"/>
              <w:jc w:val="left"/>
            </w:pPr>
            <w:r>
              <w:rPr>
                <w:rFonts w:ascii="Calibri" w:hAnsi="Calibri"/>
                <w:b/>
                <w:i w:val="0"/>
                <w:color w:val="262626"/>
                <w:sz w:val="19"/>
              </w:rPr>
              <w:t>F10</w:t>
            </w:r>
          </w:p>
        </w:tc>
        <w:tc>
          <w:tcPr>
            <w:tcW w:type="dxa" w:w="1728"/>
            <w:shd w:fill="FFFFFF"/>
          </w:tcPr>
          <w:p>
            <w:pPr>
              <w:spacing w:before="80" w:after="80"/>
              <w:jc w:val="left"/>
            </w:pPr>
            <w:r>
              <w:rPr>
                <w:rFonts w:ascii="Calibri" w:hAnsi="Calibri"/>
                <w:b w:val="0"/>
                <w:i w:val="0"/>
                <w:color w:val="262626"/>
                <w:sz w:val="19"/>
              </w:rPr>
              <w:t>Agence</w:t>
            </w:r>
          </w:p>
        </w:tc>
        <w:tc>
          <w:tcPr>
            <w:tcW w:type="dxa" w:w="2016"/>
            <w:shd w:fill="FFFFFF"/>
          </w:tcPr>
          <w:p>
            <w:pPr>
              <w:spacing w:before="80" w:after="80"/>
              <w:jc w:val="left"/>
            </w:pPr>
            <w:r>
              <w:rPr>
                <w:rFonts w:ascii="Calibri" w:hAnsi="Calibri"/>
                <w:b w:val="0"/>
                <w:i w:val="0"/>
                <w:color w:val="262626"/>
                <w:sz w:val="19"/>
              </w:rPr>
              <w:t>PayDunya</w:t>
            </w:r>
          </w:p>
        </w:tc>
        <w:tc>
          <w:tcPr>
            <w:tcW w:type="dxa" w:w="4752"/>
            <w:shd w:fill="FFFFFF"/>
          </w:tcPr>
          <w:p>
            <w:pPr>
              <w:spacing w:before="80" w:after="80"/>
              <w:jc w:val="left"/>
            </w:pPr>
            <w:r>
              <w:rPr>
                <w:rFonts w:ascii="Calibri" w:hAnsi="Calibri"/>
                <w:b w:val="0"/>
                <w:i w:val="0"/>
                <w:color w:val="262626"/>
                <w:sz w:val="19"/>
              </w:rPr>
              <w:t>Règlement du montant par Mobile Money / Carte</w:t>
            </w:r>
          </w:p>
        </w:tc>
      </w:tr>
      <w:tr>
        <w:tc>
          <w:tcPr>
            <w:tcW w:type="dxa" w:w="864"/>
            <w:shd w:fill="F9FAFC"/>
          </w:tcPr>
          <w:p>
            <w:pPr>
              <w:spacing w:before="80" w:after="80"/>
              <w:jc w:val="left"/>
            </w:pPr>
            <w:r>
              <w:rPr>
                <w:rFonts w:ascii="Calibri" w:hAnsi="Calibri"/>
                <w:b/>
                <w:i w:val="0"/>
                <w:color w:val="262626"/>
                <w:sz w:val="19"/>
              </w:rPr>
              <w:t>F11</w:t>
            </w:r>
          </w:p>
        </w:tc>
        <w:tc>
          <w:tcPr>
            <w:tcW w:type="dxa" w:w="1728"/>
            <w:shd w:fill="F9FAFC"/>
          </w:tcPr>
          <w:p>
            <w:pPr>
              <w:spacing w:before="80" w:after="80"/>
              <w:jc w:val="left"/>
            </w:pPr>
            <w:r>
              <w:rPr>
                <w:rFonts w:ascii="Calibri" w:hAnsi="Calibri"/>
                <w:b w:val="0"/>
                <w:i w:val="0"/>
                <w:color w:val="262626"/>
                <w:sz w:val="19"/>
              </w:rPr>
              <w:t>PayDunya</w:t>
            </w:r>
          </w:p>
        </w:tc>
        <w:tc>
          <w:tcPr>
            <w:tcW w:type="dxa" w:w="2016"/>
            <w:shd w:fill="F9FAFC"/>
          </w:tcPr>
          <w:p>
            <w:pPr>
              <w:spacing w:before="80" w:after="80"/>
              <w:jc w:val="left"/>
            </w:pPr>
            <w:r>
              <w:rPr>
                <w:rFonts w:ascii="Calibri" w:hAnsi="Calibri"/>
                <w:b w:val="0"/>
                <w:i w:val="0"/>
                <w:color w:val="262626"/>
                <w:sz w:val="19"/>
              </w:rPr>
              <w:t>Système</w:t>
            </w:r>
          </w:p>
        </w:tc>
        <w:tc>
          <w:tcPr>
            <w:tcW w:type="dxa" w:w="4752"/>
            <w:shd w:fill="F9FAFC"/>
          </w:tcPr>
          <w:p>
            <w:pPr>
              <w:spacing w:before="80" w:after="80"/>
              <w:jc w:val="left"/>
            </w:pPr>
            <w:r>
              <w:rPr>
                <w:rFonts w:ascii="Calibri" w:hAnsi="Calibri"/>
                <w:b w:val="0"/>
                <w:i w:val="0"/>
                <w:color w:val="262626"/>
                <w:sz w:val="19"/>
              </w:rPr>
              <w:t>Notification instantanée de paiement (IPN Webhook)</w:t>
            </w:r>
          </w:p>
        </w:tc>
      </w:tr>
      <w:tr>
        <w:tc>
          <w:tcPr>
            <w:tcW w:type="dxa" w:w="864"/>
            <w:shd w:fill="FFFFFF"/>
          </w:tcPr>
          <w:p>
            <w:pPr>
              <w:spacing w:before="80" w:after="80"/>
              <w:jc w:val="left"/>
            </w:pPr>
            <w:r>
              <w:rPr>
                <w:rFonts w:ascii="Calibri" w:hAnsi="Calibri"/>
                <w:b/>
                <w:i w:val="0"/>
                <w:color w:val="262626"/>
                <w:sz w:val="19"/>
              </w:rPr>
              <w:t>F12</w:t>
            </w:r>
          </w:p>
        </w:tc>
        <w:tc>
          <w:tcPr>
            <w:tcW w:type="dxa" w:w="1728"/>
            <w:shd w:fill="FFFFFF"/>
          </w:tcPr>
          <w:p>
            <w:pPr>
              <w:spacing w:before="80" w:after="80"/>
              <w:jc w:val="left"/>
            </w:pPr>
            <w:r>
              <w:rPr>
                <w:rFonts w:ascii="Calibri" w:hAnsi="Calibri"/>
                <w:b w:val="0"/>
                <w:i w:val="0"/>
                <w:color w:val="262626"/>
                <w:sz w:val="19"/>
              </w:rPr>
              <w:t>Système</w:t>
            </w:r>
          </w:p>
        </w:tc>
        <w:tc>
          <w:tcPr>
            <w:tcW w:type="dxa" w:w="2016"/>
            <w:shd w:fill="FFFFFF"/>
          </w:tcPr>
          <w:p>
            <w:pPr>
              <w:spacing w:before="80" w:after="80"/>
              <w:jc w:val="left"/>
            </w:pPr>
            <w:r>
              <w:rPr>
                <w:rFonts w:ascii="Calibri" w:hAnsi="Calibri"/>
                <w:b w:val="0"/>
                <w:i w:val="0"/>
                <w:color w:val="262626"/>
                <w:sz w:val="19"/>
              </w:rPr>
              <w:t>PayDunya</w:t>
            </w:r>
          </w:p>
        </w:tc>
        <w:tc>
          <w:tcPr>
            <w:tcW w:type="dxa" w:w="4752"/>
            <w:shd w:fill="FFFFFF"/>
          </w:tcPr>
          <w:p>
            <w:pPr>
              <w:spacing w:before="80" w:after="80"/>
              <w:jc w:val="left"/>
            </w:pPr>
            <w:r>
              <w:rPr>
                <w:rFonts w:ascii="Calibri" w:hAnsi="Calibri"/>
                <w:b w:val="0"/>
                <w:i w:val="0"/>
                <w:color w:val="262626"/>
                <w:sz w:val="19"/>
              </w:rPr>
              <w:t>Re-confirmation de sécurité de la transaction</w:t>
            </w:r>
          </w:p>
        </w:tc>
      </w:tr>
      <w:tr>
        <w:tc>
          <w:tcPr>
            <w:tcW w:type="dxa" w:w="864"/>
            <w:shd w:fill="F9FAFC"/>
          </w:tcPr>
          <w:p>
            <w:pPr>
              <w:spacing w:before="80" w:after="80"/>
              <w:jc w:val="left"/>
            </w:pPr>
            <w:r>
              <w:rPr>
                <w:rFonts w:ascii="Calibri" w:hAnsi="Calibri"/>
                <w:b/>
                <w:i w:val="0"/>
                <w:color w:val="262626"/>
                <w:sz w:val="19"/>
              </w:rPr>
              <w:t>F13</w:t>
            </w:r>
          </w:p>
        </w:tc>
        <w:tc>
          <w:tcPr>
            <w:tcW w:type="dxa" w:w="1728"/>
            <w:shd w:fill="F9FAFC"/>
          </w:tcPr>
          <w:p>
            <w:pPr>
              <w:spacing w:before="80" w:after="80"/>
              <w:jc w:val="left"/>
            </w:pPr>
            <w:r>
              <w:rPr>
                <w:rFonts w:ascii="Calibri" w:hAnsi="Calibri"/>
                <w:b w:val="0"/>
                <w:i w:val="0"/>
                <w:color w:val="262626"/>
                <w:sz w:val="19"/>
              </w:rPr>
              <w:t>Système</w:t>
            </w:r>
          </w:p>
        </w:tc>
        <w:tc>
          <w:tcPr>
            <w:tcW w:type="dxa" w:w="2016"/>
            <w:shd w:fill="F9FAFC"/>
          </w:tcPr>
          <w:p>
            <w:pPr>
              <w:spacing w:before="80" w:after="80"/>
              <w:jc w:val="left"/>
            </w:pPr>
            <w:r>
              <w:rPr>
                <w:rFonts w:ascii="Calibri" w:hAnsi="Calibri"/>
                <w:b w:val="0"/>
                <w:i w:val="0"/>
                <w:color w:val="262626"/>
                <w:sz w:val="19"/>
              </w:rPr>
              <w:t>Agence</w:t>
            </w:r>
          </w:p>
        </w:tc>
        <w:tc>
          <w:tcPr>
            <w:tcW w:type="dxa" w:w="4752"/>
            <w:shd w:fill="F9FAFC"/>
          </w:tcPr>
          <w:p>
            <w:pPr>
              <w:spacing w:before="80" w:after="80"/>
              <w:jc w:val="left"/>
            </w:pPr>
            <w:r>
              <w:rPr>
                <w:rFonts w:ascii="Calibri" w:hAnsi="Calibri"/>
                <w:b w:val="0"/>
                <w:i w:val="0"/>
                <w:color w:val="262626"/>
                <w:sz w:val="19"/>
              </w:rPr>
              <w:t>Activation automatique du plan d'abonnement ou du badge vérifié</w:t>
            </w:r>
          </w:p>
        </w:tc>
      </w:tr>
      <w:tr>
        <w:tc>
          <w:tcPr>
            <w:tcW w:type="dxa" w:w="864"/>
            <w:shd w:fill="FFFFFF"/>
          </w:tcPr>
          <w:p>
            <w:pPr>
              <w:spacing w:before="80" w:after="80"/>
              <w:jc w:val="left"/>
            </w:pPr>
            <w:r>
              <w:rPr>
                <w:rFonts w:ascii="Calibri" w:hAnsi="Calibri"/>
                <w:b/>
                <w:i w:val="0"/>
                <w:color w:val="262626"/>
                <w:sz w:val="19"/>
              </w:rPr>
              <w:t>F14</w:t>
            </w:r>
          </w:p>
        </w:tc>
        <w:tc>
          <w:tcPr>
            <w:tcW w:type="dxa" w:w="1728"/>
            <w:shd w:fill="FFFFFF"/>
          </w:tcPr>
          <w:p>
            <w:pPr>
              <w:spacing w:before="80" w:after="80"/>
              <w:jc w:val="left"/>
            </w:pPr>
            <w:r>
              <w:rPr>
                <w:rFonts w:ascii="Calibri" w:hAnsi="Calibri"/>
                <w:b w:val="0"/>
                <w:i w:val="0"/>
                <w:color w:val="262626"/>
                <w:sz w:val="19"/>
              </w:rPr>
              <w:t>Agence</w:t>
            </w:r>
          </w:p>
        </w:tc>
        <w:tc>
          <w:tcPr>
            <w:tcW w:type="dxa" w:w="2016"/>
            <w:shd w:fill="FFFFFF"/>
          </w:tcPr>
          <w:p>
            <w:pPr>
              <w:spacing w:before="80" w:after="80"/>
              <w:jc w:val="left"/>
            </w:pPr>
            <w:r>
              <w:rPr>
                <w:rFonts w:ascii="Calibri" w:hAnsi="Calibri"/>
                <w:b w:val="0"/>
                <w:i w:val="0"/>
                <w:color w:val="262626"/>
                <w:sz w:val="19"/>
              </w:rPr>
              <w:t>Système</w:t>
            </w:r>
          </w:p>
        </w:tc>
        <w:tc>
          <w:tcPr>
            <w:tcW w:type="dxa" w:w="4752"/>
            <w:shd w:fill="FFFFFF"/>
          </w:tcPr>
          <w:p>
            <w:pPr>
              <w:spacing w:before="80" w:after="80"/>
              <w:jc w:val="left"/>
            </w:pPr>
            <w:r>
              <w:rPr>
                <w:rFonts w:ascii="Calibri" w:hAnsi="Calibri"/>
                <w:b w:val="0"/>
                <w:i w:val="0"/>
                <w:color w:val="262626"/>
                <w:sz w:val="19"/>
              </w:rPr>
              <w:t>Création / modification d'une fiche bien immobilier avec images</w:t>
            </w:r>
          </w:p>
        </w:tc>
      </w:tr>
      <w:tr>
        <w:tc>
          <w:tcPr>
            <w:tcW w:type="dxa" w:w="864"/>
            <w:shd w:fill="F9FAFC"/>
          </w:tcPr>
          <w:p>
            <w:pPr>
              <w:spacing w:before="80" w:after="80"/>
              <w:jc w:val="left"/>
            </w:pPr>
            <w:r>
              <w:rPr>
                <w:rFonts w:ascii="Calibri" w:hAnsi="Calibri"/>
                <w:b/>
                <w:i w:val="0"/>
                <w:color w:val="262626"/>
                <w:sz w:val="19"/>
              </w:rPr>
              <w:t>F15</w:t>
            </w:r>
          </w:p>
        </w:tc>
        <w:tc>
          <w:tcPr>
            <w:tcW w:type="dxa" w:w="1728"/>
            <w:shd w:fill="F9FAFC"/>
          </w:tcPr>
          <w:p>
            <w:pPr>
              <w:spacing w:before="80" w:after="80"/>
              <w:jc w:val="left"/>
            </w:pPr>
            <w:r>
              <w:rPr>
                <w:rFonts w:ascii="Calibri" w:hAnsi="Calibri"/>
                <w:b w:val="0"/>
                <w:i w:val="0"/>
                <w:color w:val="262626"/>
                <w:sz w:val="19"/>
              </w:rPr>
              <w:t>Système</w:t>
            </w:r>
          </w:p>
        </w:tc>
        <w:tc>
          <w:tcPr>
            <w:tcW w:type="dxa" w:w="2016"/>
            <w:shd w:fill="F9FAFC"/>
          </w:tcPr>
          <w:p>
            <w:pPr>
              <w:spacing w:before="80" w:after="80"/>
              <w:jc w:val="left"/>
            </w:pPr>
            <w:r>
              <w:rPr>
                <w:rFonts w:ascii="Calibri" w:hAnsi="Calibri"/>
                <w:b w:val="0"/>
                <w:i w:val="0"/>
                <w:color w:val="262626"/>
                <w:sz w:val="19"/>
              </w:rPr>
              <w:t>Agence</w:t>
            </w:r>
          </w:p>
        </w:tc>
        <w:tc>
          <w:tcPr>
            <w:tcW w:type="dxa" w:w="4752"/>
            <w:shd w:fill="F9FAFC"/>
          </w:tcPr>
          <w:p>
            <w:pPr>
              <w:spacing w:before="80" w:after="80"/>
              <w:jc w:val="left"/>
            </w:pPr>
            <w:r>
              <w:rPr>
                <w:rFonts w:ascii="Calibri" w:hAnsi="Calibri"/>
                <w:b w:val="0"/>
                <w:i w:val="0"/>
                <w:color w:val="262626"/>
                <w:sz w:val="19"/>
              </w:rPr>
              <w:t>Confirmation de la publication (contrôle du quota de l'abonnement)</w:t>
            </w:r>
          </w:p>
        </w:tc>
      </w:tr>
      <w:tr>
        <w:tc>
          <w:tcPr>
            <w:tcW w:type="dxa" w:w="864"/>
            <w:shd w:fill="FFFFFF"/>
          </w:tcPr>
          <w:p>
            <w:pPr>
              <w:spacing w:before="80" w:after="80"/>
              <w:jc w:val="left"/>
            </w:pPr>
            <w:r>
              <w:rPr>
                <w:rFonts w:ascii="Calibri" w:hAnsi="Calibri"/>
                <w:b/>
                <w:i w:val="0"/>
                <w:color w:val="262626"/>
                <w:sz w:val="19"/>
              </w:rPr>
              <w:t>F16</w:t>
            </w:r>
          </w:p>
        </w:tc>
        <w:tc>
          <w:tcPr>
            <w:tcW w:type="dxa" w:w="1728"/>
            <w:shd w:fill="FFFFFF"/>
          </w:tcPr>
          <w:p>
            <w:pPr>
              <w:spacing w:before="80" w:after="80"/>
              <w:jc w:val="left"/>
            </w:pPr>
            <w:r>
              <w:rPr>
                <w:rFonts w:ascii="Calibri" w:hAnsi="Calibri"/>
                <w:b w:val="0"/>
                <w:i w:val="0"/>
                <w:color w:val="262626"/>
                <w:sz w:val="19"/>
              </w:rPr>
              <w:t>Système</w:t>
            </w:r>
          </w:p>
        </w:tc>
        <w:tc>
          <w:tcPr>
            <w:tcW w:type="dxa" w:w="2016"/>
            <w:shd w:fill="FFFFFF"/>
          </w:tcPr>
          <w:p>
            <w:pPr>
              <w:spacing w:before="80" w:after="80"/>
              <w:jc w:val="left"/>
            </w:pPr>
            <w:r>
              <w:rPr>
                <w:rFonts w:ascii="Calibri" w:hAnsi="Calibri"/>
                <w:b w:val="0"/>
                <w:i w:val="0"/>
                <w:color w:val="262626"/>
                <w:sz w:val="19"/>
              </w:rPr>
              <w:t>Visiteur / Client</w:t>
            </w:r>
          </w:p>
        </w:tc>
        <w:tc>
          <w:tcPr>
            <w:tcW w:type="dxa" w:w="4752"/>
            <w:shd w:fill="FFFFFF"/>
          </w:tcPr>
          <w:p>
            <w:pPr>
              <w:spacing w:before="80" w:after="80"/>
              <w:jc w:val="left"/>
            </w:pPr>
            <w:r>
              <w:rPr>
                <w:rFonts w:ascii="Calibri" w:hAnsi="Calibri"/>
                <w:b w:val="0"/>
                <w:i w:val="0"/>
                <w:color w:val="262626"/>
                <w:sz w:val="19"/>
              </w:rPr>
              <w:t>Diffusion du bien publié sur le fil public et dans le moteur de recherche</w:t>
            </w:r>
          </w:p>
        </w:tc>
      </w:tr>
      <w:tr>
        <w:tc>
          <w:tcPr>
            <w:tcW w:type="dxa" w:w="864"/>
            <w:shd w:fill="F9FAFC"/>
          </w:tcPr>
          <w:p>
            <w:pPr>
              <w:spacing w:before="80" w:after="80"/>
              <w:jc w:val="left"/>
            </w:pPr>
            <w:r>
              <w:rPr>
                <w:rFonts w:ascii="Calibri" w:hAnsi="Calibri"/>
                <w:b/>
                <w:i w:val="0"/>
                <w:color w:val="262626"/>
                <w:sz w:val="19"/>
              </w:rPr>
              <w:t>F17</w:t>
            </w:r>
          </w:p>
        </w:tc>
        <w:tc>
          <w:tcPr>
            <w:tcW w:type="dxa" w:w="1728"/>
            <w:shd w:fill="F9FAFC"/>
          </w:tcPr>
          <w:p>
            <w:pPr>
              <w:spacing w:before="80" w:after="80"/>
              <w:jc w:val="left"/>
            </w:pPr>
            <w:r>
              <w:rPr>
                <w:rFonts w:ascii="Calibri" w:hAnsi="Calibri"/>
                <w:b w:val="0"/>
                <w:i w:val="0"/>
                <w:color w:val="262626"/>
                <w:sz w:val="19"/>
              </w:rPr>
              <w:t>Client</w:t>
            </w:r>
          </w:p>
        </w:tc>
        <w:tc>
          <w:tcPr>
            <w:tcW w:type="dxa" w:w="2016"/>
            <w:shd w:fill="F9FAFC"/>
          </w:tcPr>
          <w:p>
            <w:pPr>
              <w:spacing w:before="80" w:after="80"/>
              <w:jc w:val="left"/>
            </w:pPr>
            <w:r>
              <w:rPr>
                <w:rFonts w:ascii="Calibri" w:hAnsi="Calibri"/>
                <w:b w:val="0"/>
                <w:i w:val="0"/>
                <w:color w:val="262626"/>
                <w:sz w:val="19"/>
              </w:rPr>
              <w:t>Système</w:t>
            </w:r>
          </w:p>
        </w:tc>
        <w:tc>
          <w:tcPr>
            <w:tcW w:type="dxa" w:w="4752"/>
            <w:shd w:fill="F9FAFC"/>
          </w:tcPr>
          <w:p>
            <w:pPr>
              <w:spacing w:before="80" w:after="80"/>
              <w:jc w:val="left"/>
            </w:pPr>
            <w:r>
              <w:rPr>
                <w:rFonts w:ascii="Calibri" w:hAnsi="Calibri"/>
                <w:b w:val="0"/>
                <w:i w:val="0"/>
                <w:color w:val="262626"/>
                <w:sz w:val="19"/>
              </w:rPr>
              <w:t>Ajout d'un Like, commentaire ou réponse sur une publication</w:t>
            </w:r>
          </w:p>
        </w:tc>
      </w:tr>
      <w:tr>
        <w:tc>
          <w:tcPr>
            <w:tcW w:type="dxa" w:w="864"/>
            <w:shd w:fill="FFFFFF"/>
          </w:tcPr>
          <w:p>
            <w:pPr>
              <w:spacing w:before="80" w:after="80"/>
              <w:jc w:val="left"/>
            </w:pPr>
            <w:r>
              <w:rPr>
                <w:rFonts w:ascii="Calibri" w:hAnsi="Calibri"/>
                <w:b/>
                <w:i w:val="0"/>
                <w:color w:val="262626"/>
                <w:sz w:val="19"/>
              </w:rPr>
              <w:t>F18</w:t>
            </w:r>
          </w:p>
        </w:tc>
        <w:tc>
          <w:tcPr>
            <w:tcW w:type="dxa" w:w="1728"/>
            <w:shd w:fill="FFFFFF"/>
          </w:tcPr>
          <w:p>
            <w:pPr>
              <w:spacing w:before="80" w:after="80"/>
              <w:jc w:val="left"/>
            </w:pPr>
            <w:r>
              <w:rPr>
                <w:rFonts w:ascii="Calibri" w:hAnsi="Calibri"/>
                <w:b w:val="0"/>
                <w:i w:val="0"/>
                <w:color w:val="262626"/>
                <w:sz w:val="19"/>
              </w:rPr>
              <w:t>Système</w:t>
            </w:r>
          </w:p>
        </w:tc>
        <w:tc>
          <w:tcPr>
            <w:tcW w:type="dxa" w:w="2016"/>
            <w:shd w:fill="FFFFFF"/>
          </w:tcPr>
          <w:p>
            <w:pPr>
              <w:spacing w:before="80" w:after="80"/>
              <w:jc w:val="left"/>
            </w:pPr>
            <w:r>
              <w:rPr>
                <w:rFonts w:ascii="Calibri" w:hAnsi="Calibri"/>
                <w:b w:val="0"/>
                <w:i w:val="0"/>
                <w:color w:val="262626"/>
                <w:sz w:val="19"/>
              </w:rPr>
              <w:t>Client</w:t>
            </w:r>
          </w:p>
        </w:tc>
        <w:tc>
          <w:tcPr>
            <w:tcW w:type="dxa" w:w="4752"/>
            <w:shd w:fill="FFFFFF"/>
          </w:tcPr>
          <w:p>
            <w:pPr>
              <w:spacing w:before="80" w:after="80"/>
              <w:jc w:val="left"/>
            </w:pPr>
            <w:r>
              <w:rPr>
                <w:rFonts w:ascii="Calibri" w:hAnsi="Calibri"/>
                <w:b w:val="0"/>
                <w:i w:val="0"/>
                <w:color w:val="262626"/>
                <w:sz w:val="19"/>
              </w:rPr>
              <w:t>Mise à jour instantanée des compteurs sociaux</w:t>
            </w:r>
          </w:p>
        </w:tc>
      </w:tr>
      <w:tr>
        <w:tc>
          <w:tcPr>
            <w:tcW w:type="dxa" w:w="864"/>
            <w:shd w:fill="F9FAFC"/>
          </w:tcPr>
          <w:p>
            <w:pPr>
              <w:spacing w:before="80" w:after="80"/>
              <w:jc w:val="left"/>
            </w:pPr>
            <w:r>
              <w:rPr>
                <w:rFonts w:ascii="Calibri" w:hAnsi="Calibri"/>
                <w:b/>
                <w:i w:val="0"/>
                <w:color w:val="262626"/>
                <w:sz w:val="19"/>
              </w:rPr>
              <w:t>F19</w:t>
            </w:r>
          </w:p>
        </w:tc>
        <w:tc>
          <w:tcPr>
            <w:tcW w:type="dxa" w:w="1728"/>
            <w:shd w:fill="F9FAFC"/>
          </w:tcPr>
          <w:p>
            <w:pPr>
              <w:spacing w:before="80" w:after="80"/>
              <w:jc w:val="left"/>
            </w:pPr>
            <w:r>
              <w:rPr>
                <w:rFonts w:ascii="Calibri" w:hAnsi="Calibri"/>
                <w:b w:val="0"/>
                <w:i w:val="0"/>
                <w:color w:val="262626"/>
                <w:sz w:val="19"/>
              </w:rPr>
              <w:t>Client</w:t>
            </w:r>
          </w:p>
        </w:tc>
        <w:tc>
          <w:tcPr>
            <w:tcW w:type="dxa" w:w="2016"/>
            <w:shd w:fill="F9FAFC"/>
          </w:tcPr>
          <w:p>
            <w:pPr>
              <w:spacing w:before="80" w:after="80"/>
              <w:jc w:val="left"/>
            </w:pPr>
            <w:r>
              <w:rPr>
                <w:rFonts w:ascii="Calibri" w:hAnsi="Calibri"/>
                <w:b w:val="0"/>
                <w:i w:val="0"/>
                <w:color w:val="262626"/>
                <w:sz w:val="19"/>
              </w:rPr>
              <w:t>Système</w:t>
            </w:r>
          </w:p>
        </w:tc>
        <w:tc>
          <w:tcPr>
            <w:tcW w:type="dxa" w:w="4752"/>
            <w:shd w:fill="F9FAFC"/>
          </w:tcPr>
          <w:p>
            <w:pPr>
              <w:spacing w:before="80" w:after="80"/>
              <w:jc w:val="left"/>
            </w:pPr>
            <w:r>
              <w:rPr>
                <w:rFonts w:ascii="Calibri" w:hAnsi="Calibri"/>
                <w:b w:val="0"/>
                <w:i w:val="0"/>
                <w:color w:val="262626"/>
                <w:sz w:val="19"/>
              </w:rPr>
              <w:t>Signalement d'un commentaire inapproprié</w:t>
            </w:r>
          </w:p>
        </w:tc>
      </w:tr>
      <w:tr>
        <w:tc>
          <w:tcPr>
            <w:tcW w:type="dxa" w:w="864"/>
            <w:shd w:fill="FFFFFF"/>
          </w:tcPr>
          <w:p>
            <w:pPr>
              <w:spacing w:before="80" w:after="80"/>
              <w:jc w:val="left"/>
            </w:pPr>
            <w:r>
              <w:rPr>
                <w:rFonts w:ascii="Calibri" w:hAnsi="Calibri"/>
                <w:b/>
                <w:i w:val="0"/>
                <w:color w:val="262626"/>
                <w:sz w:val="19"/>
              </w:rPr>
              <w:t>F20</w:t>
            </w:r>
          </w:p>
        </w:tc>
        <w:tc>
          <w:tcPr>
            <w:tcW w:type="dxa" w:w="1728"/>
            <w:shd w:fill="FFFFFF"/>
          </w:tcPr>
          <w:p>
            <w:pPr>
              <w:spacing w:before="80" w:after="80"/>
              <w:jc w:val="left"/>
            </w:pPr>
            <w:r>
              <w:rPr>
                <w:rFonts w:ascii="Calibri" w:hAnsi="Calibri"/>
                <w:b w:val="0"/>
                <w:i w:val="0"/>
                <w:color w:val="262626"/>
                <w:sz w:val="19"/>
              </w:rPr>
              <w:t>Système</w:t>
            </w:r>
          </w:p>
        </w:tc>
        <w:tc>
          <w:tcPr>
            <w:tcW w:type="dxa" w:w="2016"/>
            <w:shd w:fill="FFFFFF"/>
          </w:tcPr>
          <w:p>
            <w:pPr>
              <w:spacing w:before="80" w:after="80"/>
              <w:jc w:val="left"/>
            </w:pPr>
            <w:r>
              <w:rPr>
                <w:rFonts w:ascii="Calibri" w:hAnsi="Calibri"/>
                <w:b w:val="0"/>
                <w:i w:val="0"/>
                <w:color w:val="262626"/>
                <w:sz w:val="19"/>
              </w:rPr>
              <w:t>Administrateur</w:t>
            </w:r>
          </w:p>
        </w:tc>
        <w:tc>
          <w:tcPr>
            <w:tcW w:type="dxa" w:w="4752"/>
            <w:shd w:fill="FFFFFF"/>
          </w:tcPr>
          <w:p>
            <w:pPr>
              <w:spacing w:before="80" w:after="80"/>
              <w:jc w:val="left"/>
            </w:pPr>
            <w:r>
              <w:rPr>
                <w:rFonts w:ascii="Calibri" w:hAnsi="Calibri"/>
                <w:b w:val="0"/>
                <w:i w:val="0"/>
                <w:color w:val="262626"/>
                <w:sz w:val="19"/>
              </w:rPr>
              <w:t>Transmission du signalement en file de modération</w:t>
            </w:r>
          </w:p>
        </w:tc>
      </w:tr>
      <w:tr>
        <w:tc>
          <w:tcPr>
            <w:tcW w:type="dxa" w:w="864"/>
            <w:shd w:fill="F9FAFC"/>
          </w:tcPr>
          <w:p>
            <w:pPr>
              <w:spacing w:before="80" w:after="80"/>
              <w:jc w:val="left"/>
            </w:pPr>
            <w:r>
              <w:rPr>
                <w:rFonts w:ascii="Calibri" w:hAnsi="Calibri"/>
                <w:b/>
                <w:i w:val="0"/>
                <w:color w:val="262626"/>
                <w:sz w:val="19"/>
              </w:rPr>
              <w:t>F21</w:t>
            </w:r>
          </w:p>
        </w:tc>
        <w:tc>
          <w:tcPr>
            <w:tcW w:type="dxa" w:w="1728"/>
            <w:shd w:fill="F9FAFC"/>
          </w:tcPr>
          <w:p>
            <w:pPr>
              <w:spacing w:before="80" w:after="80"/>
              <w:jc w:val="left"/>
            </w:pPr>
            <w:r>
              <w:rPr>
                <w:rFonts w:ascii="Calibri" w:hAnsi="Calibri"/>
                <w:b w:val="0"/>
                <w:i w:val="0"/>
                <w:color w:val="262626"/>
                <w:sz w:val="19"/>
              </w:rPr>
              <w:t>Administrateur</w:t>
            </w:r>
          </w:p>
        </w:tc>
        <w:tc>
          <w:tcPr>
            <w:tcW w:type="dxa" w:w="2016"/>
            <w:shd w:fill="F9FAFC"/>
          </w:tcPr>
          <w:p>
            <w:pPr>
              <w:spacing w:before="80" w:after="80"/>
              <w:jc w:val="left"/>
            </w:pPr>
            <w:r>
              <w:rPr>
                <w:rFonts w:ascii="Calibri" w:hAnsi="Calibri"/>
                <w:b w:val="0"/>
                <w:i w:val="0"/>
                <w:color w:val="262626"/>
                <w:sz w:val="19"/>
              </w:rPr>
              <w:t>Système</w:t>
            </w:r>
          </w:p>
        </w:tc>
        <w:tc>
          <w:tcPr>
            <w:tcW w:type="dxa" w:w="4752"/>
            <w:shd w:fill="F9FAFC"/>
          </w:tcPr>
          <w:p>
            <w:pPr>
              <w:spacing w:before="80" w:after="80"/>
              <w:jc w:val="left"/>
            </w:pPr>
            <w:r>
              <w:rPr>
                <w:rFonts w:ascii="Calibri" w:hAnsi="Calibri"/>
                <w:b w:val="0"/>
                <w:i w:val="0"/>
                <w:color w:val="262626"/>
                <w:sz w:val="19"/>
              </w:rPr>
              <w:t>Décision de modération (Suppression du contenu ou Classement sans suite)</w:t>
            </w:r>
          </w:p>
        </w:tc>
      </w:tr>
      <w:tr>
        <w:tc>
          <w:tcPr>
            <w:tcW w:type="dxa" w:w="864"/>
            <w:shd w:fill="FFFFFF"/>
          </w:tcPr>
          <w:p>
            <w:pPr>
              <w:spacing w:before="80" w:after="80"/>
              <w:jc w:val="left"/>
            </w:pPr>
            <w:r>
              <w:rPr>
                <w:rFonts w:ascii="Calibri" w:hAnsi="Calibri"/>
                <w:b/>
                <w:i w:val="0"/>
                <w:color w:val="262626"/>
                <w:sz w:val="19"/>
              </w:rPr>
              <w:t>F22</w:t>
            </w:r>
          </w:p>
        </w:tc>
        <w:tc>
          <w:tcPr>
            <w:tcW w:type="dxa" w:w="1728"/>
            <w:shd w:fill="FFFFFF"/>
          </w:tcPr>
          <w:p>
            <w:pPr>
              <w:spacing w:before="80" w:after="80"/>
              <w:jc w:val="left"/>
            </w:pPr>
            <w:r>
              <w:rPr>
                <w:rFonts w:ascii="Calibri" w:hAnsi="Calibri"/>
                <w:b w:val="0"/>
                <w:i w:val="0"/>
                <w:color w:val="262626"/>
                <w:sz w:val="19"/>
              </w:rPr>
              <w:t>Client</w:t>
            </w:r>
          </w:p>
        </w:tc>
        <w:tc>
          <w:tcPr>
            <w:tcW w:type="dxa" w:w="2016"/>
            <w:shd w:fill="FFFFFF"/>
          </w:tcPr>
          <w:p>
            <w:pPr>
              <w:spacing w:before="80" w:after="80"/>
              <w:jc w:val="left"/>
            </w:pPr>
            <w:r>
              <w:rPr>
                <w:rFonts w:ascii="Calibri" w:hAnsi="Calibri"/>
                <w:b w:val="0"/>
                <w:i w:val="0"/>
                <w:color w:val="262626"/>
                <w:sz w:val="19"/>
              </w:rPr>
              <w:t>Système</w:t>
            </w:r>
          </w:p>
        </w:tc>
        <w:tc>
          <w:tcPr>
            <w:tcW w:type="dxa" w:w="4752"/>
            <w:shd w:fill="FFFFFF"/>
          </w:tcPr>
          <w:p>
            <w:pPr>
              <w:spacing w:before="80" w:after="80"/>
              <w:jc w:val="left"/>
            </w:pPr>
            <w:r>
              <w:rPr>
                <w:rFonts w:ascii="Calibri" w:hAnsi="Calibri"/>
                <w:b w:val="0"/>
                <w:i w:val="0"/>
                <w:color w:val="262626"/>
                <w:sz w:val="19"/>
              </w:rPr>
              <w:t>Initiation d'une conversation à partir d'une fiche bien</w:t>
            </w:r>
          </w:p>
        </w:tc>
      </w:tr>
      <w:tr>
        <w:tc>
          <w:tcPr>
            <w:tcW w:type="dxa" w:w="864"/>
            <w:shd w:fill="F9FAFC"/>
          </w:tcPr>
          <w:p>
            <w:pPr>
              <w:spacing w:before="80" w:after="80"/>
              <w:jc w:val="left"/>
            </w:pPr>
            <w:r>
              <w:rPr>
                <w:rFonts w:ascii="Calibri" w:hAnsi="Calibri"/>
                <w:b/>
                <w:i w:val="0"/>
                <w:color w:val="262626"/>
                <w:sz w:val="19"/>
              </w:rPr>
              <w:t>F23</w:t>
            </w:r>
          </w:p>
        </w:tc>
        <w:tc>
          <w:tcPr>
            <w:tcW w:type="dxa" w:w="1728"/>
            <w:shd w:fill="F9FAFC"/>
          </w:tcPr>
          <w:p>
            <w:pPr>
              <w:spacing w:before="80" w:after="80"/>
              <w:jc w:val="left"/>
            </w:pPr>
            <w:r>
              <w:rPr>
                <w:rFonts w:ascii="Calibri" w:hAnsi="Calibri"/>
                <w:b w:val="0"/>
                <w:i w:val="0"/>
                <w:color w:val="262626"/>
                <w:sz w:val="19"/>
              </w:rPr>
              <w:t>Client / Agence</w:t>
            </w:r>
          </w:p>
        </w:tc>
        <w:tc>
          <w:tcPr>
            <w:tcW w:type="dxa" w:w="2016"/>
            <w:shd w:fill="F9FAFC"/>
          </w:tcPr>
          <w:p>
            <w:pPr>
              <w:spacing w:before="80" w:after="80"/>
              <w:jc w:val="left"/>
            </w:pPr>
            <w:r>
              <w:rPr>
                <w:rFonts w:ascii="Calibri" w:hAnsi="Calibri"/>
                <w:b w:val="0"/>
                <w:i w:val="0"/>
                <w:color w:val="262626"/>
                <w:sz w:val="19"/>
              </w:rPr>
              <w:t>Système</w:t>
            </w:r>
          </w:p>
        </w:tc>
        <w:tc>
          <w:tcPr>
            <w:tcW w:type="dxa" w:w="4752"/>
            <w:shd w:fill="F9FAFC"/>
          </w:tcPr>
          <w:p>
            <w:pPr>
              <w:spacing w:before="80" w:after="80"/>
              <w:jc w:val="left"/>
            </w:pPr>
            <w:r>
              <w:rPr>
                <w:rFonts w:ascii="Calibri" w:hAnsi="Calibri"/>
                <w:b w:val="0"/>
                <w:i w:val="0"/>
                <w:color w:val="262626"/>
                <w:sz w:val="19"/>
              </w:rPr>
              <w:t>Envoi d'un message dans la conversation</w:t>
            </w:r>
          </w:p>
        </w:tc>
      </w:tr>
      <w:tr>
        <w:tc>
          <w:tcPr>
            <w:tcW w:type="dxa" w:w="864"/>
            <w:shd w:fill="FFFFFF"/>
          </w:tcPr>
          <w:p>
            <w:pPr>
              <w:spacing w:before="80" w:after="80"/>
              <w:jc w:val="left"/>
            </w:pPr>
            <w:r>
              <w:rPr>
                <w:rFonts w:ascii="Calibri" w:hAnsi="Calibri"/>
                <w:b/>
                <w:i w:val="0"/>
                <w:color w:val="262626"/>
                <w:sz w:val="19"/>
              </w:rPr>
              <w:t>F24</w:t>
            </w:r>
          </w:p>
        </w:tc>
        <w:tc>
          <w:tcPr>
            <w:tcW w:type="dxa" w:w="1728"/>
            <w:shd w:fill="FFFFFF"/>
          </w:tcPr>
          <w:p>
            <w:pPr>
              <w:spacing w:before="80" w:after="80"/>
              <w:jc w:val="left"/>
            </w:pPr>
            <w:r>
              <w:rPr>
                <w:rFonts w:ascii="Calibri" w:hAnsi="Calibri"/>
                <w:b w:val="0"/>
                <w:i w:val="0"/>
                <w:color w:val="262626"/>
                <w:sz w:val="19"/>
              </w:rPr>
              <w:t>Système</w:t>
            </w:r>
          </w:p>
        </w:tc>
        <w:tc>
          <w:tcPr>
            <w:tcW w:type="dxa" w:w="2016"/>
            <w:shd w:fill="FFFFFF"/>
          </w:tcPr>
          <w:p>
            <w:pPr>
              <w:spacing w:before="80" w:after="80"/>
              <w:jc w:val="left"/>
            </w:pPr>
            <w:r>
              <w:rPr>
                <w:rFonts w:ascii="Calibri" w:hAnsi="Calibri"/>
                <w:b w:val="0"/>
                <w:i w:val="0"/>
                <w:color w:val="262626"/>
                <w:sz w:val="19"/>
              </w:rPr>
              <w:t>Agence / Client</w:t>
            </w:r>
          </w:p>
        </w:tc>
        <w:tc>
          <w:tcPr>
            <w:tcW w:type="dxa" w:w="4752"/>
            <w:shd w:fill="FFFFFF"/>
          </w:tcPr>
          <w:p>
            <w:pPr>
              <w:spacing w:before="80" w:after="80"/>
              <w:jc w:val="left"/>
            </w:pPr>
            <w:r>
              <w:rPr>
                <w:rFonts w:ascii="Calibri" w:hAnsi="Calibri"/>
                <w:b w:val="0"/>
                <w:i w:val="0"/>
                <w:color w:val="262626"/>
                <w:sz w:val="19"/>
              </w:rPr>
              <w:t>Diffusion du message en temps réel via Laravel Reverb</w:t>
            </w:r>
          </w:p>
        </w:tc>
      </w:tr>
    </w:tbl>
    <w:p>
      <w:pPr>
        <w:keepNext/>
        <w:spacing w:before="200" w:after="80"/>
      </w:pPr>
      <w:r>
        <w:rPr>
          <w:rFonts w:ascii="Calibri" w:hAnsi="Calibri"/>
          <w:b/>
          <w:i/>
          <w:color w:val="333333"/>
          <w:sz w:val="22"/>
        </w:rPr>
        <w:t>c. Modèle Conceptuel des Traitements (MCT)</w:t>
      </w:r>
    </w:p>
    <w:p>
      <w:pPr>
        <w:spacing w:after="120" w:line="276" w:lineRule="auto"/>
      </w:pPr>
      <w:r>
        <w:rPr>
          <w:rFonts w:ascii="Calibri" w:hAnsi="Calibri"/>
          <w:color w:val="262626"/>
          <w:sz w:val="22"/>
        </w:rPr>
        <w:t>Le MCT décrit la dynamique des traitements en réponse aux événements déclencheurs. Les principales opérations du socle actuel sont :</w:t>
      </w:r>
    </w:p>
    <w:tbl>
      <w:tblPr>
        <w:tblW w:type="auto" w:w="0"/>
        <w:tblLook w:firstColumn="1" w:firstRow="1" w:lastColumn="0" w:lastRow="0" w:noHBand="0" w:noVBand="1" w:val="04A0"/>
        <w:tblBorders>
          <w:top w:val="single" w:sz="6" w:space="0" w:color="CCCCCC"/>
          <w:bottom w:val="single" w:sz="6" w:space="0" w:color="CCCCCC"/>
          <w:insideH w:val="single" w:sz="4" w:space="0" w:color="CCCCCC"/>
          <w:insideV w:val="none"/>
          <w:left w:val="none"/>
          <w:right w:val="none"/>
        </w:tblBorders>
      </w:tblPr>
      <w:tblGrid>
        <w:gridCol w:w="1872"/>
        <w:gridCol w:w="1872"/>
        <w:gridCol w:w="1872"/>
        <w:gridCol w:w="1872"/>
        <w:gridCol w:w="1872"/>
      </w:tblGrid>
      <w:tr>
        <w:tc>
          <w:tcPr>
            <w:tcW w:type="dxa" w:w="1872"/>
            <w:shd w:fill="1F4E78"/>
          </w:tcPr>
          <w:p>
            <w:pPr>
              <w:spacing w:before="120" w:after="120"/>
              <w:jc w:val="left"/>
            </w:pPr>
            <w:r>
              <w:rPr>
                <w:rFonts w:ascii="Calibri" w:hAnsi="Calibri"/>
                <w:b/>
                <w:color w:val="FFFFFF"/>
                <w:sz w:val="20"/>
              </w:rPr>
              <w:t>N°</w:t>
            </w:r>
          </w:p>
        </w:tc>
        <w:tc>
          <w:tcPr>
            <w:tcW w:type="dxa" w:w="1872"/>
            <w:shd w:fill="1F4E78"/>
          </w:tcPr>
          <w:p>
            <w:pPr>
              <w:spacing w:before="120" w:after="120"/>
              <w:jc w:val="left"/>
            </w:pPr>
            <w:r>
              <w:rPr>
                <w:rFonts w:ascii="Calibri" w:hAnsi="Calibri"/>
                <w:b/>
                <w:color w:val="FFFFFF"/>
                <w:sz w:val="20"/>
              </w:rPr>
              <w:t>Événement Déclencheur</w:t>
            </w:r>
          </w:p>
        </w:tc>
        <w:tc>
          <w:tcPr>
            <w:tcW w:type="dxa" w:w="1872"/>
            <w:shd w:fill="1F4E78"/>
          </w:tcPr>
          <w:p>
            <w:pPr>
              <w:spacing w:before="120" w:after="120"/>
              <w:jc w:val="left"/>
            </w:pPr>
            <w:r>
              <w:rPr>
                <w:rFonts w:ascii="Calibri" w:hAnsi="Calibri"/>
                <w:b/>
                <w:color w:val="FFFFFF"/>
                <w:sz w:val="20"/>
              </w:rPr>
              <w:t>Opération</w:t>
            </w:r>
          </w:p>
        </w:tc>
        <w:tc>
          <w:tcPr>
            <w:tcW w:type="dxa" w:w="1872"/>
            <w:shd w:fill="1F4E78"/>
          </w:tcPr>
          <w:p>
            <w:pPr>
              <w:spacing w:before="120" w:after="120"/>
              <w:jc w:val="left"/>
            </w:pPr>
            <w:r>
              <w:rPr>
                <w:rFonts w:ascii="Calibri" w:hAnsi="Calibri"/>
                <w:b/>
                <w:color w:val="FFFFFF"/>
                <w:sz w:val="20"/>
              </w:rPr>
              <w:t>Règles de Gestion / Émission</w:t>
            </w:r>
          </w:p>
        </w:tc>
        <w:tc>
          <w:tcPr>
            <w:tcW w:type="dxa" w:w="1872"/>
            <w:shd w:fill="1F4E78"/>
          </w:tcPr>
          <w:p>
            <w:pPr>
              <w:spacing w:before="120" w:after="120"/>
              <w:jc w:val="left"/>
            </w:pPr>
            <w:r>
              <w:rPr>
                <w:rFonts w:ascii="Calibri" w:hAnsi="Calibri"/>
                <w:b/>
                <w:color w:val="FFFFFF"/>
                <w:sz w:val="20"/>
              </w:rPr>
              <w:t>Résultat</w:t>
            </w:r>
          </w:p>
        </w:tc>
      </w:tr>
      <w:tr>
        <w:tc>
          <w:tcPr>
            <w:tcW w:type="dxa" w:w="720"/>
            <w:shd w:fill="F9FAFC"/>
          </w:tcPr>
          <w:p>
            <w:pPr>
              <w:spacing w:before="80" w:after="80"/>
              <w:jc w:val="left"/>
            </w:pPr>
            <w:r>
              <w:rPr>
                <w:rFonts w:ascii="Calibri" w:hAnsi="Calibri"/>
                <w:b/>
                <w:i w:val="0"/>
                <w:color w:val="262626"/>
                <w:sz w:val="19"/>
              </w:rPr>
              <w:t>T1</w:t>
            </w:r>
          </w:p>
        </w:tc>
        <w:tc>
          <w:tcPr>
            <w:tcW w:type="dxa" w:w="2160"/>
            <w:shd w:fill="F9FAFC"/>
          </w:tcPr>
          <w:p>
            <w:pPr>
              <w:spacing w:before="80" w:after="80"/>
              <w:jc w:val="left"/>
            </w:pPr>
            <w:r>
              <w:rPr>
                <w:rFonts w:ascii="Calibri" w:hAnsi="Calibri"/>
                <w:b w:val="0"/>
                <w:i w:val="0"/>
                <w:color w:val="262626"/>
                <w:sz w:val="19"/>
              </w:rPr>
              <w:t>E1: Dossier d'inscription soumis (F1)</w:t>
            </w:r>
          </w:p>
        </w:tc>
        <w:tc>
          <w:tcPr>
            <w:tcW w:type="dxa" w:w="1872"/>
            <w:shd w:fill="F9FAFC"/>
          </w:tcPr>
          <w:p>
            <w:pPr>
              <w:spacing w:before="80" w:after="80"/>
              <w:jc w:val="left"/>
            </w:pPr>
            <w:r>
              <w:rPr>
                <w:rFonts w:ascii="Calibri" w:hAnsi="Calibri"/>
                <w:b w:val="0"/>
                <w:i w:val="0"/>
                <w:color w:val="262626"/>
                <w:sz w:val="19"/>
              </w:rPr>
              <w:t>Instruire dossier Agence</w:t>
            </w:r>
          </w:p>
        </w:tc>
        <w:tc>
          <w:tcPr>
            <w:tcW w:type="dxa" w:w="2448"/>
            <w:shd w:fill="F9FAFC"/>
          </w:tcPr>
          <w:p>
            <w:pPr>
              <w:spacing w:before="80" w:after="80"/>
              <w:jc w:val="left"/>
            </w:pPr>
            <w:r>
              <w:rPr>
                <w:rFonts w:ascii="Calibri" w:hAnsi="Calibri"/>
                <w:b w:val="0"/>
                <w:i w:val="0"/>
                <w:color w:val="262626"/>
                <w:sz w:val="19"/>
              </w:rPr>
              <w:t>R1: Entreprise et N° pièce uniques</w:t>
              <w:br/>
              <w:t>R2: Création statut pending</w:t>
            </w:r>
          </w:p>
        </w:tc>
        <w:tc>
          <w:tcPr>
            <w:tcW w:type="dxa" w:w="2160"/>
            <w:shd w:fill="F9FAFC"/>
          </w:tcPr>
          <w:p>
            <w:pPr>
              <w:spacing w:before="80" w:after="80"/>
              <w:jc w:val="left"/>
            </w:pPr>
            <w:r>
              <w:rPr>
                <w:rFonts w:ascii="Calibri" w:hAnsi="Calibri"/>
                <w:b w:val="0"/>
                <w:i w:val="0"/>
                <w:color w:val="262626"/>
                <w:sz w:val="19"/>
              </w:rPr>
              <w:t>Dossier en attente admin (F2)</w:t>
            </w:r>
          </w:p>
        </w:tc>
      </w:tr>
      <w:tr>
        <w:tc>
          <w:tcPr>
            <w:tcW w:type="dxa" w:w="720"/>
            <w:shd w:fill="FFFFFF"/>
          </w:tcPr>
          <w:p>
            <w:pPr>
              <w:spacing w:before="80" w:after="80"/>
              <w:jc w:val="left"/>
            </w:pPr>
            <w:r>
              <w:rPr>
                <w:rFonts w:ascii="Calibri" w:hAnsi="Calibri"/>
                <w:b/>
                <w:i w:val="0"/>
                <w:color w:val="262626"/>
                <w:sz w:val="19"/>
              </w:rPr>
              <w:t>T2</w:t>
            </w:r>
          </w:p>
        </w:tc>
        <w:tc>
          <w:tcPr>
            <w:tcW w:type="dxa" w:w="2160"/>
            <w:shd w:fill="FFFFFF"/>
          </w:tcPr>
          <w:p>
            <w:pPr>
              <w:spacing w:before="80" w:after="80"/>
              <w:jc w:val="left"/>
            </w:pPr>
            <w:r>
              <w:rPr>
                <w:rFonts w:ascii="Calibri" w:hAnsi="Calibri"/>
                <w:b w:val="0"/>
                <w:i w:val="0"/>
                <w:color w:val="262626"/>
                <w:sz w:val="19"/>
              </w:rPr>
              <w:t>E2: Décision Admin reçue (F3)</w:t>
            </w:r>
          </w:p>
        </w:tc>
        <w:tc>
          <w:tcPr>
            <w:tcW w:type="dxa" w:w="1872"/>
            <w:shd w:fill="FFFFFF"/>
          </w:tcPr>
          <w:p>
            <w:pPr>
              <w:spacing w:before="80" w:after="80"/>
              <w:jc w:val="left"/>
            </w:pPr>
            <w:r>
              <w:rPr>
                <w:rFonts w:ascii="Calibri" w:hAnsi="Calibri"/>
                <w:b w:val="0"/>
                <w:i w:val="0"/>
                <w:color w:val="262626"/>
                <w:sz w:val="19"/>
              </w:rPr>
              <w:t>Statuer sur le dossier</w:t>
            </w:r>
          </w:p>
        </w:tc>
        <w:tc>
          <w:tcPr>
            <w:tcW w:type="dxa" w:w="2448"/>
            <w:shd w:fill="FFFFFF"/>
          </w:tcPr>
          <w:p>
            <w:pPr>
              <w:spacing w:before="80" w:after="80"/>
              <w:jc w:val="left"/>
            </w:pPr>
            <w:r>
              <w:rPr>
                <w:rFonts w:ascii="Calibri" w:hAnsi="Calibri"/>
                <w:b w:val="0"/>
                <w:i w:val="0"/>
                <w:color w:val="262626"/>
                <w:sz w:val="19"/>
              </w:rPr>
              <w:t>R3: Si validé -&gt; statut accepted, token 24h, essai 30j</w:t>
              <w:br/>
              <w:t>R4: Si refusé -&gt; statut refused + motif</w:t>
            </w:r>
          </w:p>
        </w:tc>
        <w:tc>
          <w:tcPr>
            <w:tcW w:type="dxa" w:w="2160"/>
            <w:shd w:fill="FFFFFF"/>
          </w:tcPr>
          <w:p>
            <w:pPr>
              <w:spacing w:before="80" w:after="80"/>
              <w:jc w:val="left"/>
            </w:pPr>
            <w:r>
              <w:rPr>
                <w:rFonts w:ascii="Calibri" w:hAnsi="Calibri"/>
                <w:b w:val="0"/>
                <w:i w:val="0"/>
                <w:color w:val="262626"/>
                <w:sz w:val="19"/>
              </w:rPr>
              <w:t>Agence activée OU Agence refusée</w:t>
            </w:r>
          </w:p>
        </w:tc>
      </w:tr>
      <w:tr>
        <w:tc>
          <w:tcPr>
            <w:tcW w:type="dxa" w:w="720"/>
            <w:shd w:fill="F9FAFC"/>
          </w:tcPr>
          <w:p>
            <w:pPr>
              <w:spacing w:before="80" w:after="80"/>
              <w:jc w:val="left"/>
            </w:pPr>
            <w:r>
              <w:rPr>
                <w:rFonts w:ascii="Calibri" w:hAnsi="Calibri"/>
                <w:b/>
                <w:i w:val="0"/>
                <w:color w:val="262626"/>
                <w:sz w:val="19"/>
              </w:rPr>
              <w:t>T3</w:t>
            </w:r>
          </w:p>
        </w:tc>
        <w:tc>
          <w:tcPr>
            <w:tcW w:type="dxa" w:w="2160"/>
            <w:shd w:fill="F9FAFC"/>
          </w:tcPr>
          <w:p>
            <w:pPr>
              <w:spacing w:before="80" w:after="80"/>
              <w:jc w:val="left"/>
            </w:pPr>
            <w:r>
              <w:rPr>
                <w:rFonts w:ascii="Calibri" w:hAnsi="Calibri"/>
                <w:b w:val="0"/>
                <w:i w:val="0"/>
                <w:color w:val="262626"/>
                <w:sz w:val="19"/>
              </w:rPr>
              <w:t>E3: Demande souscription plan (F7)</w:t>
            </w:r>
          </w:p>
        </w:tc>
        <w:tc>
          <w:tcPr>
            <w:tcW w:type="dxa" w:w="1872"/>
            <w:shd w:fill="F9FAFC"/>
          </w:tcPr>
          <w:p>
            <w:pPr>
              <w:spacing w:before="80" w:after="80"/>
              <w:jc w:val="left"/>
            </w:pPr>
            <w:r>
              <w:rPr>
                <w:rFonts w:ascii="Calibri" w:hAnsi="Calibri"/>
                <w:b w:val="0"/>
                <w:i w:val="0"/>
                <w:color w:val="262626"/>
                <w:sz w:val="19"/>
              </w:rPr>
              <w:t>Créer facture PayDunya</w:t>
            </w:r>
          </w:p>
        </w:tc>
        <w:tc>
          <w:tcPr>
            <w:tcW w:type="dxa" w:w="2448"/>
            <w:shd w:fill="F9FAFC"/>
          </w:tcPr>
          <w:p>
            <w:pPr>
              <w:spacing w:before="80" w:after="80"/>
              <w:jc w:val="left"/>
            </w:pPr>
            <w:r>
              <w:rPr>
                <w:rFonts w:ascii="Calibri" w:hAnsi="Calibri"/>
                <w:b w:val="0"/>
                <w:i w:val="0"/>
                <w:color w:val="262626"/>
                <w:sz w:val="19"/>
              </w:rPr>
              <w:t>R5: Montant selon formule</w:t>
              <w:br/>
              <w:t>R6: Paiement créé en pending</w:t>
            </w:r>
          </w:p>
        </w:tc>
        <w:tc>
          <w:tcPr>
            <w:tcW w:type="dxa" w:w="2160"/>
            <w:shd w:fill="F9FAFC"/>
          </w:tcPr>
          <w:p>
            <w:pPr>
              <w:spacing w:before="80" w:after="80"/>
              <w:jc w:val="left"/>
            </w:pPr>
            <w:r>
              <w:rPr>
                <w:rFonts w:ascii="Calibri" w:hAnsi="Calibri"/>
                <w:b w:val="0"/>
                <w:i w:val="0"/>
                <w:color w:val="262626"/>
                <w:sz w:val="19"/>
              </w:rPr>
              <w:t>Facture émise &amp; redirection (F8, F9)</w:t>
            </w:r>
          </w:p>
        </w:tc>
      </w:tr>
      <w:tr>
        <w:tc>
          <w:tcPr>
            <w:tcW w:type="dxa" w:w="720"/>
            <w:shd w:fill="FFFFFF"/>
          </w:tcPr>
          <w:p>
            <w:pPr>
              <w:spacing w:before="80" w:after="80"/>
              <w:jc w:val="left"/>
            </w:pPr>
            <w:r>
              <w:rPr>
                <w:rFonts w:ascii="Calibri" w:hAnsi="Calibri"/>
                <w:b/>
                <w:i w:val="0"/>
                <w:color w:val="262626"/>
                <w:sz w:val="19"/>
              </w:rPr>
              <w:t>T4</w:t>
            </w:r>
          </w:p>
        </w:tc>
        <w:tc>
          <w:tcPr>
            <w:tcW w:type="dxa" w:w="2160"/>
            <w:shd w:fill="FFFFFF"/>
          </w:tcPr>
          <w:p>
            <w:pPr>
              <w:spacing w:before="80" w:after="80"/>
              <w:jc w:val="left"/>
            </w:pPr>
            <w:r>
              <w:rPr>
                <w:rFonts w:ascii="Calibri" w:hAnsi="Calibri"/>
                <w:b w:val="0"/>
                <w:i w:val="0"/>
                <w:color w:val="262626"/>
                <w:sz w:val="19"/>
              </w:rPr>
              <w:t>E4: Webhook IPN reçu (F11)</w:t>
            </w:r>
          </w:p>
        </w:tc>
        <w:tc>
          <w:tcPr>
            <w:tcW w:type="dxa" w:w="1872"/>
            <w:shd w:fill="FFFFFF"/>
          </w:tcPr>
          <w:p>
            <w:pPr>
              <w:spacing w:before="80" w:after="80"/>
              <w:jc w:val="left"/>
            </w:pPr>
            <w:r>
              <w:rPr>
                <w:rFonts w:ascii="Calibri" w:hAnsi="Calibri"/>
                <w:b w:val="0"/>
                <w:i w:val="0"/>
                <w:color w:val="262626"/>
                <w:sz w:val="19"/>
              </w:rPr>
              <w:t>Confirmer paiement IPN</w:t>
            </w:r>
          </w:p>
        </w:tc>
        <w:tc>
          <w:tcPr>
            <w:tcW w:type="dxa" w:w="2448"/>
            <w:shd w:fill="FFFFFF"/>
          </w:tcPr>
          <w:p>
            <w:pPr>
              <w:spacing w:before="80" w:after="80"/>
              <w:jc w:val="left"/>
            </w:pPr>
            <w:r>
              <w:rPr>
                <w:rFonts w:ascii="Calibri" w:hAnsi="Calibri"/>
                <w:b w:val="0"/>
                <w:i w:val="0"/>
                <w:color w:val="262626"/>
                <w:sz w:val="19"/>
              </w:rPr>
              <w:t>R7: Validation signature SHA512</w:t>
              <w:br/>
              <w:t>R8: Re-confirmation auprès de PayDunya</w:t>
              <w:br/>
              <w:t>R9: Prolongation abonnement / badge</w:t>
            </w:r>
          </w:p>
        </w:tc>
        <w:tc>
          <w:tcPr>
            <w:tcW w:type="dxa" w:w="2160"/>
            <w:shd w:fill="FFFFFF"/>
          </w:tcPr>
          <w:p>
            <w:pPr>
              <w:spacing w:before="80" w:after="80"/>
              <w:jc w:val="left"/>
            </w:pPr>
            <w:r>
              <w:rPr>
                <w:rFonts w:ascii="Calibri" w:hAnsi="Calibri"/>
                <w:b w:val="0"/>
                <w:i w:val="0"/>
                <w:color w:val="262626"/>
                <w:sz w:val="19"/>
              </w:rPr>
              <w:t>Abonnement activé (F13) OU Paiement rejeté</w:t>
            </w:r>
          </w:p>
        </w:tc>
      </w:tr>
      <w:tr>
        <w:tc>
          <w:tcPr>
            <w:tcW w:type="dxa" w:w="720"/>
            <w:shd w:fill="F9FAFC"/>
          </w:tcPr>
          <w:p>
            <w:pPr>
              <w:spacing w:before="80" w:after="80"/>
              <w:jc w:val="left"/>
            </w:pPr>
            <w:r>
              <w:rPr>
                <w:rFonts w:ascii="Calibri" w:hAnsi="Calibri"/>
                <w:b/>
                <w:i w:val="0"/>
                <w:color w:val="262626"/>
                <w:sz w:val="19"/>
              </w:rPr>
              <w:t>T5</w:t>
            </w:r>
          </w:p>
        </w:tc>
        <w:tc>
          <w:tcPr>
            <w:tcW w:type="dxa" w:w="2160"/>
            <w:shd w:fill="F9FAFC"/>
          </w:tcPr>
          <w:p>
            <w:pPr>
              <w:spacing w:before="80" w:after="80"/>
              <w:jc w:val="left"/>
            </w:pPr>
            <w:r>
              <w:rPr>
                <w:rFonts w:ascii="Calibri" w:hAnsi="Calibri"/>
                <w:b w:val="0"/>
                <w:i w:val="0"/>
                <w:color w:val="262626"/>
                <w:sz w:val="19"/>
              </w:rPr>
              <w:t>E5: Demande publication bien (F14)</w:t>
            </w:r>
          </w:p>
        </w:tc>
        <w:tc>
          <w:tcPr>
            <w:tcW w:type="dxa" w:w="1872"/>
            <w:shd w:fill="F9FAFC"/>
          </w:tcPr>
          <w:p>
            <w:pPr>
              <w:spacing w:before="80" w:after="80"/>
              <w:jc w:val="left"/>
            </w:pPr>
            <w:r>
              <w:rPr>
                <w:rFonts w:ascii="Calibri" w:hAnsi="Calibri"/>
                <w:b w:val="0"/>
                <w:i w:val="0"/>
                <w:color w:val="262626"/>
                <w:sz w:val="19"/>
              </w:rPr>
              <w:t>Contrôler et publier</w:t>
            </w:r>
          </w:p>
        </w:tc>
        <w:tc>
          <w:tcPr>
            <w:tcW w:type="dxa" w:w="2448"/>
            <w:shd w:fill="F9FAFC"/>
          </w:tcPr>
          <w:p>
            <w:pPr>
              <w:spacing w:before="80" w:after="80"/>
              <w:jc w:val="left"/>
            </w:pPr>
            <w:r>
              <w:rPr>
                <w:rFonts w:ascii="Calibri" w:hAnsi="Calibri"/>
                <w:b w:val="0"/>
                <w:i w:val="0"/>
                <w:color w:val="262626"/>
                <w:sz w:val="19"/>
              </w:rPr>
              <w:t>R10: Abonnement actif requis</w:t>
              <w:br/>
              <w:t>R11: Quota d'annonces non atteint</w:t>
            </w:r>
          </w:p>
        </w:tc>
        <w:tc>
          <w:tcPr>
            <w:tcW w:type="dxa" w:w="2160"/>
            <w:shd w:fill="F9FAFC"/>
          </w:tcPr>
          <w:p>
            <w:pPr>
              <w:spacing w:before="80" w:after="80"/>
              <w:jc w:val="left"/>
            </w:pPr>
            <w:r>
              <w:rPr>
                <w:rFonts w:ascii="Calibri" w:hAnsi="Calibri"/>
                <w:b w:val="0"/>
                <w:i w:val="0"/>
                <w:color w:val="262626"/>
                <w:sz w:val="19"/>
              </w:rPr>
              <w:t>Bien publié sur le fil (F16)</w:t>
            </w:r>
          </w:p>
        </w:tc>
      </w:tr>
      <w:tr>
        <w:tc>
          <w:tcPr>
            <w:tcW w:type="dxa" w:w="720"/>
            <w:shd w:fill="FFFFFF"/>
          </w:tcPr>
          <w:p>
            <w:pPr>
              <w:spacing w:before="80" w:after="80"/>
              <w:jc w:val="left"/>
            </w:pPr>
            <w:r>
              <w:rPr>
                <w:rFonts w:ascii="Calibri" w:hAnsi="Calibri"/>
                <w:b/>
                <w:i w:val="0"/>
                <w:color w:val="262626"/>
                <w:sz w:val="19"/>
              </w:rPr>
              <w:t>T6</w:t>
            </w:r>
          </w:p>
        </w:tc>
        <w:tc>
          <w:tcPr>
            <w:tcW w:type="dxa" w:w="2160"/>
            <w:shd w:fill="FFFFFF"/>
          </w:tcPr>
          <w:p>
            <w:pPr>
              <w:spacing w:before="80" w:after="80"/>
              <w:jc w:val="left"/>
            </w:pPr>
            <w:r>
              <w:rPr>
                <w:rFonts w:ascii="Calibri" w:hAnsi="Calibri"/>
                <w:b w:val="0"/>
                <w:i w:val="0"/>
                <w:color w:val="262626"/>
                <w:sz w:val="19"/>
              </w:rPr>
              <w:t>E6: Action sociale Like/Commentaire (F17)</w:t>
            </w:r>
          </w:p>
        </w:tc>
        <w:tc>
          <w:tcPr>
            <w:tcW w:type="dxa" w:w="1872"/>
            <w:shd w:fill="FFFFFF"/>
          </w:tcPr>
          <w:p>
            <w:pPr>
              <w:spacing w:before="80" w:after="80"/>
              <w:jc w:val="left"/>
            </w:pPr>
            <w:r>
              <w:rPr>
                <w:rFonts w:ascii="Calibri" w:hAnsi="Calibri"/>
                <w:b w:val="0"/>
                <w:i w:val="0"/>
                <w:color w:val="262626"/>
                <w:sz w:val="19"/>
              </w:rPr>
              <w:t>Enregistrer interaction</w:t>
            </w:r>
          </w:p>
        </w:tc>
        <w:tc>
          <w:tcPr>
            <w:tcW w:type="dxa" w:w="2448"/>
            <w:shd w:fill="FFFFFF"/>
          </w:tcPr>
          <w:p>
            <w:pPr>
              <w:spacing w:before="80" w:after="80"/>
              <w:jc w:val="left"/>
            </w:pPr>
            <w:r>
              <w:rPr>
                <w:rFonts w:ascii="Calibri" w:hAnsi="Calibri"/>
                <w:b w:val="0"/>
                <w:i w:val="0"/>
                <w:color w:val="262626"/>
                <w:sz w:val="19"/>
              </w:rPr>
              <w:t>R13: Unicité du couple (post, user)</w:t>
              <w:br/>
              <w:t>R14: Authentification obligatoire</w:t>
            </w:r>
          </w:p>
        </w:tc>
        <w:tc>
          <w:tcPr>
            <w:tcW w:type="dxa" w:w="2160"/>
            <w:shd w:fill="FFFFFF"/>
          </w:tcPr>
          <w:p>
            <w:pPr>
              <w:spacing w:before="80" w:after="80"/>
              <w:jc w:val="left"/>
            </w:pPr>
            <w:r>
              <w:rPr>
                <w:rFonts w:ascii="Calibri" w:hAnsi="Calibri"/>
                <w:b w:val="0"/>
                <w:i w:val="0"/>
                <w:color w:val="262626"/>
                <w:sz w:val="19"/>
              </w:rPr>
              <w:t>Compteurs sociaux mis à jour (F18)</w:t>
            </w:r>
          </w:p>
        </w:tc>
      </w:tr>
      <w:tr>
        <w:tc>
          <w:tcPr>
            <w:tcW w:type="dxa" w:w="720"/>
            <w:shd w:fill="F9FAFC"/>
          </w:tcPr>
          <w:p>
            <w:pPr>
              <w:spacing w:before="80" w:after="80"/>
              <w:jc w:val="left"/>
            </w:pPr>
            <w:r>
              <w:rPr>
                <w:rFonts w:ascii="Calibri" w:hAnsi="Calibri"/>
                <w:b/>
                <w:i w:val="0"/>
                <w:color w:val="262626"/>
                <w:sz w:val="19"/>
              </w:rPr>
              <w:t>T7</w:t>
            </w:r>
          </w:p>
        </w:tc>
        <w:tc>
          <w:tcPr>
            <w:tcW w:type="dxa" w:w="2160"/>
            <w:shd w:fill="F9FAFC"/>
          </w:tcPr>
          <w:p>
            <w:pPr>
              <w:spacing w:before="80" w:after="80"/>
              <w:jc w:val="left"/>
            </w:pPr>
            <w:r>
              <w:rPr>
                <w:rFonts w:ascii="Calibri" w:hAnsi="Calibri"/>
                <w:b w:val="0"/>
                <w:i w:val="0"/>
                <w:color w:val="262626"/>
                <w:sz w:val="19"/>
              </w:rPr>
              <w:t>E7: Signalement d'un contenu (F19)</w:t>
            </w:r>
          </w:p>
        </w:tc>
        <w:tc>
          <w:tcPr>
            <w:tcW w:type="dxa" w:w="1872"/>
            <w:shd w:fill="F9FAFC"/>
          </w:tcPr>
          <w:p>
            <w:pPr>
              <w:spacing w:before="80" w:after="80"/>
              <w:jc w:val="left"/>
            </w:pPr>
            <w:r>
              <w:rPr>
                <w:rFonts w:ascii="Calibri" w:hAnsi="Calibri"/>
                <w:b w:val="0"/>
                <w:i w:val="0"/>
                <w:color w:val="262626"/>
                <w:sz w:val="19"/>
              </w:rPr>
              <w:t>Enregistrer signalement</w:t>
            </w:r>
          </w:p>
        </w:tc>
        <w:tc>
          <w:tcPr>
            <w:tcW w:type="dxa" w:w="2448"/>
            <w:shd w:fill="F9FAFC"/>
          </w:tcPr>
          <w:p>
            <w:pPr>
              <w:spacing w:before="80" w:after="80"/>
              <w:jc w:val="left"/>
            </w:pPr>
            <w:r>
              <w:rPr>
                <w:rFonts w:ascii="Calibri" w:hAnsi="Calibri"/>
                <w:b w:val="0"/>
                <w:i w:val="0"/>
                <w:color w:val="262626"/>
                <w:sz w:val="19"/>
              </w:rPr>
              <w:t>R15: Motif valide (spam, abusif, etc.)</w:t>
            </w:r>
          </w:p>
        </w:tc>
        <w:tc>
          <w:tcPr>
            <w:tcW w:type="dxa" w:w="2160"/>
            <w:shd w:fill="F9FAFC"/>
          </w:tcPr>
          <w:p>
            <w:pPr>
              <w:spacing w:before="80" w:after="80"/>
              <w:jc w:val="left"/>
            </w:pPr>
            <w:r>
              <w:rPr>
                <w:rFonts w:ascii="Calibri" w:hAnsi="Calibri"/>
                <w:b w:val="0"/>
                <w:i w:val="0"/>
                <w:color w:val="262626"/>
                <w:sz w:val="19"/>
              </w:rPr>
              <w:t>Signalement transmis à l'Admin (F20)</w:t>
            </w:r>
          </w:p>
        </w:tc>
      </w:tr>
      <w:tr>
        <w:tc>
          <w:tcPr>
            <w:tcW w:type="dxa" w:w="720"/>
            <w:shd w:fill="FFFFFF"/>
          </w:tcPr>
          <w:p>
            <w:pPr>
              <w:spacing w:before="80" w:after="80"/>
              <w:jc w:val="left"/>
            </w:pPr>
            <w:r>
              <w:rPr>
                <w:rFonts w:ascii="Calibri" w:hAnsi="Calibri"/>
                <w:b/>
                <w:i w:val="0"/>
                <w:color w:val="262626"/>
                <w:sz w:val="19"/>
              </w:rPr>
              <w:t>T8</w:t>
            </w:r>
          </w:p>
        </w:tc>
        <w:tc>
          <w:tcPr>
            <w:tcW w:type="dxa" w:w="2160"/>
            <w:shd w:fill="FFFFFF"/>
          </w:tcPr>
          <w:p>
            <w:pPr>
              <w:spacing w:before="80" w:after="80"/>
              <w:jc w:val="left"/>
            </w:pPr>
            <w:r>
              <w:rPr>
                <w:rFonts w:ascii="Calibri" w:hAnsi="Calibri"/>
                <w:b w:val="0"/>
                <w:i w:val="0"/>
                <w:color w:val="262626"/>
                <w:sz w:val="19"/>
              </w:rPr>
              <w:t>E8: Décision modération Admin (F21)</w:t>
            </w:r>
          </w:p>
        </w:tc>
        <w:tc>
          <w:tcPr>
            <w:tcW w:type="dxa" w:w="1872"/>
            <w:shd w:fill="FFFFFF"/>
          </w:tcPr>
          <w:p>
            <w:pPr>
              <w:spacing w:before="80" w:after="80"/>
              <w:jc w:val="left"/>
            </w:pPr>
            <w:r>
              <w:rPr>
                <w:rFonts w:ascii="Calibri" w:hAnsi="Calibri"/>
                <w:b w:val="0"/>
                <w:i w:val="0"/>
                <w:color w:val="262626"/>
                <w:sz w:val="19"/>
              </w:rPr>
              <w:t>Traiter le signalement</w:t>
            </w:r>
          </w:p>
        </w:tc>
        <w:tc>
          <w:tcPr>
            <w:tcW w:type="dxa" w:w="2448"/>
            <w:shd w:fill="FFFFFF"/>
          </w:tcPr>
          <w:p>
            <w:pPr>
              <w:spacing w:before="80" w:after="80"/>
              <w:jc w:val="left"/>
            </w:pPr>
            <w:r>
              <w:rPr>
                <w:rFonts w:ascii="Calibri" w:hAnsi="Calibri"/>
                <w:b w:val="0"/>
                <w:i w:val="0"/>
                <w:color w:val="262626"/>
                <w:sz w:val="19"/>
              </w:rPr>
              <w:t>R16: Passage à reviewed ou dismissed</w:t>
            </w:r>
          </w:p>
        </w:tc>
        <w:tc>
          <w:tcPr>
            <w:tcW w:type="dxa" w:w="2160"/>
            <w:shd w:fill="FFFFFF"/>
          </w:tcPr>
          <w:p>
            <w:pPr>
              <w:spacing w:before="80" w:after="80"/>
              <w:jc w:val="left"/>
            </w:pPr>
            <w:r>
              <w:rPr>
                <w:rFonts w:ascii="Calibri" w:hAnsi="Calibri"/>
                <w:b w:val="0"/>
                <w:i w:val="0"/>
                <w:color w:val="262626"/>
                <w:sz w:val="19"/>
              </w:rPr>
              <w:t>Signalement clôturé</w:t>
            </w:r>
          </w:p>
        </w:tc>
      </w:tr>
      <w:tr>
        <w:tc>
          <w:tcPr>
            <w:tcW w:type="dxa" w:w="720"/>
            <w:shd w:fill="F9FAFC"/>
          </w:tcPr>
          <w:p>
            <w:pPr>
              <w:spacing w:before="80" w:after="80"/>
              <w:jc w:val="left"/>
            </w:pPr>
            <w:r>
              <w:rPr>
                <w:rFonts w:ascii="Calibri" w:hAnsi="Calibri"/>
                <w:b/>
                <w:i w:val="0"/>
                <w:color w:val="262626"/>
                <w:sz w:val="19"/>
              </w:rPr>
              <w:t>T9</w:t>
            </w:r>
          </w:p>
        </w:tc>
        <w:tc>
          <w:tcPr>
            <w:tcW w:type="dxa" w:w="2160"/>
            <w:shd w:fill="F9FAFC"/>
          </w:tcPr>
          <w:p>
            <w:pPr>
              <w:spacing w:before="80" w:after="80"/>
              <w:jc w:val="left"/>
            </w:pPr>
            <w:r>
              <w:rPr>
                <w:rFonts w:ascii="Calibri" w:hAnsi="Calibri"/>
                <w:b w:val="0"/>
                <w:i w:val="0"/>
                <w:color w:val="262626"/>
                <w:sz w:val="19"/>
              </w:rPr>
              <w:t>E9: Demande contact depuis bien (F22)</w:t>
            </w:r>
          </w:p>
        </w:tc>
        <w:tc>
          <w:tcPr>
            <w:tcW w:type="dxa" w:w="1872"/>
            <w:shd w:fill="F9FAFC"/>
          </w:tcPr>
          <w:p>
            <w:pPr>
              <w:spacing w:before="80" w:after="80"/>
              <w:jc w:val="left"/>
            </w:pPr>
            <w:r>
              <w:rPr>
                <w:rFonts w:ascii="Calibri" w:hAnsi="Calibri"/>
                <w:b w:val="0"/>
                <w:i w:val="0"/>
                <w:color w:val="262626"/>
                <w:sz w:val="19"/>
              </w:rPr>
              <w:t>Ouvrir conversation</w:t>
            </w:r>
          </w:p>
        </w:tc>
        <w:tc>
          <w:tcPr>
            <w:tcW w:type="dxa" w:w="2448"/>
            <w:shd w:fill="F9FAFC"/>
          </w:tcPr>
          <w:p>
            <w:pPr>
              <w:spacing w:before="80" w:after="80"/>
              <w:jc w:val="left"/>
            </w:pPr>
            <w:r>
              <w:rPr>
                <w:rFonts w:ascii="Calibri" w:hAnsi="Calibri"/>
                <w:b w:val="0"/>
                <w:i w:val="0"/>
                <w:color w:val="262626"/>
                <w:sz w:val="19"/>
              </w:rPr>
              <w:t>R17: Unicité du triplet (bien, client, agence)</w:t>
            </w:r>
          </w:p>
        </w:tc>
        <w:tc>
          <w:tcPr>
            <w:tcW w:type="dxa" w:w="2160"/>
            <w:shd w:fill="F9FAFC"/>
          </w:tcPr>
          <w:p>
            <w:pPr>
              <w:spacing w:before="80" w:after="80"/>
              <w:jc w:val="left"/>
            </w:pPr>
            <w:r>
              <w:rPr>
                <w:rFonts w:ascii="Calibri" w:hAnsi="Calibri"/>
                <w:b w:val="0"/>
                <w:i w:val="0"/>
                <w:color w:val="262626"/>
                <w:sz w:val="19"/>
              </w:rPr>
              <w:t>Conversation créée / réutilisée</w:t>
            </w:r>
          </w:p>
        </w:tc>
      </w:tr>
      <w:tr>
        <w:tc>
          <w:tcPr>
            <w:tcW w:type="dxa" w:w="720"/>
            <w:shd w:fill="FFFFFF"/>
          </w:tcPr>
          <w:p>
            <w:pPr>
              <w:spacing w:before="80" w:after="80"/>
              <w:jc w:val="left"/>
            </w:pPr>
            <w:r>
              <w:rPr>
                <w:rFonts w:ascii="Calibri" w:hAnsi="Calibri"/>
                <w:b/>
                <w:i w:val="0"/>
                <w:color w:val="262626"/>
                <w:sz w:val="19"/>
              </w:rPr>
              <w:t>T10</w:t>
            </w:r>
          </w:p>
        </w:tc>
        <w:tc>
          <w:tcPr>
            <w:tcW w:type="dxa" w:w="2160"/>
            <w:shd w:fill="FFFFFF"/>
          </w:tcPr>
          <w:p>
            <w:pPr>
              <w:spacing w:before="80" w:after="80"/>
              <w:jc w:val="left"/>
            </w:pPr>
            <w:r>
              <w:rPr>
                <w:rFonts w:ascii="Calibri" w:hAnsi="Calibri"/>
                <w:b w:val="0"/>
                <w:i w:val="0"/>
                <w:color w:val="262626"/>
                <w:sz w:val="19"/>
              </w:rPr>
              <w:t>E10: Message envoyé (F23)</w:t>
            </w:r>
          </w:p>
        </w:tc>
        <w:tc>
          <w:tcPr>
            <w:tcW w:type="dxa" w:w="1872"/>
            <w:shd w:fill="FFFFFF"/>
          </w:tcPr>
          <w:p>
            <w:pPr>
              <w:spacing w:before="80" w:after="80"/>
              <w:jc w:val="left"/>
            </w:pPr>
            <w:r>
              <w:rPr>
                <w:rFonts w:ascii="Calibri" w:hAnsi="Calibri"/>
                <w:b w:val="0"/>
                <w:i w:val="0"/>
                <w:color w:val="262626"/>
                <w:sz w:val="19"/>
              </w:rPr>
              <w:t>Diffuser message</w:t>
            </w:r>
          </w:p>
        </w:tc>
        <w:tc>
          <w:tcPr>
            <w:tcW w:type="dxa" w:w="2448"/>
            <w:shd w:fill="FFFFFF"/>
          </w:tcPr>
          <w:p>
            <w:pPr>
              <w:spacing w:before="80" w:after="80"/>
              <w:jc w:val="left"/>
            </w:pPr>
            <w:r>
              <w:rPr>
                <w:rFonts w:ascii="Calibri" w:hAnsi="Calibri"/>
                <w:b w:val="0"/>
                <w:i w:val="0"/>
                <w:color w:val="262626"/>
                <w:sz w:val="19"/>
              </w:rPr>
              <w:t>R18: Mise à jour horodatage conversation</w:t>
              <w:br/>
              <w:t>R19: Broadcast Reverb temps réel</w:t>
            </w:r>
          </w:p>
        </w:tc>
        <w:tc>
          <w:tcPr>
            <w:tcW w:type="dxa" w:w="2160"/>
            <w:shd w:fill="FFFFFF"/>
          </w:tcPr>
          <w:p>
            <w:pPr>
              <w:spacing w:before="80" w:after="80"/>
              <w:jc w:val="left"/>
            </w:pPr>
            <w:r>
              <w:rPr>
                <w:rFonts w:ascii="Calibri" w:hAnsi="Calibri"/>
                <w:b w:val="0"/>
                <w:i w:val="0"/>
                <w:color w:val="262626"/>
                <w:sz w:val="19"/>
              </w:rPr>
              <w:t>Message diffusé au destinataire (F24)</w:t>
            </w:r>
          </w:p>
        </w:tc>
      </w:tr>
    </w:tbl>
    <w:p>
      <w:pPr>
        <w:keepNext/>
        <w:spacing w:before="200" w:after="80"/>
      </w:pPr>
      <w:r>
        <w:rPr>
          <w:rFonts w:ascii="Calibri" w:hAnsi="Calibri"/>
          <w:b/>
          <w:i/>
          <w:color w:val="333333"/>
          <w:sz w:val="22"/>
        </w:rPr>
        <w:t>d. Modèle Conceptuel (MCD) et Logique (MLD) du Socle Implémenté</w:t>
      </w:r>
    </w:p>
    <w:p>
      <w:pPr>
        <w:spacing w:after="120" w:line="276" w:lineRule="auto"/>
      </w:pPr>
      <w:r>
        <w:rPr>
          <w:rFonts w:ascii="Calibri" w:hAnsi="Calibri"/>
          <w:color w:val="262626"/>
          <w:sz w:val="22"/>
        </w:rPr>
        <w:t>Le socle applicatif actuel repose sur 20 entités et tables principales parfaitement modélisées :</w:t>
      </w:r>
    </w:p>
    <w:p>
      <w:pPr>
        <w:pStyle w:val="ListBullet"/>
        <w:spacing w:after="80" w:line="276" w:lineRule="auto"/>
      </w:pPr>
      <w:r>
        <w:rPr>
          <w:rFonts w:ascii="Calibri" w:hAnsi="Calibri"/>
          <w:b/>
          <w:color w:val="262626"/>
          <w:sz w:val="21"/>
        </w:rPr>
        <w:t xml:space="preserve">1. Gestion des Identités &amp; Agences : </w:t>
      </w:r>
      <w:r>
        <w:rPr>
          <w:rFonts w:ascii="Calibri" w:hAnsi="Calibri"/>
          <w:color w:val="262626"/>
          <w:sz w:val="21"/>
        </w:rPr>
        <w:t>users, agencies, agency_documents, password_reset_tokens.</w:t>
      </w:r>
    </w:p>
    <w:p>
      <w:pPr>
        <w:pStyle w:val="ListBullet"/>
        <w:spacing w:after="80" w:line="276" w:lineRule="auto"/>
      </w:pPr>
      <w:r>
        <w:rPr>
          <w:rFonts w:ascii="Calibri" w:hAnsi="Calibri"/>
          <w:b/>
          <w:color w:val="262626"/>
          <w:sz w:val="21"/>
        </w:rPr>
        <w:t xml:space="preserve">2. Gestion du Parc Immobilier : </w:t>
      </w:r>
      <w:r>
        <w:rPr>
          <w:rFonts w:ascii="Calibri" w:hAnsi="Calibri"/>
          <w:color w:val="262626"/>
          <w:sz w:val="21"/>
        </w:rPr>
        <w:t>properties, property_images, property_types, currencies.</w:t>
      </w:r>
    </w:p>
    <w:p>
      <w:pPr>
        <w:pStyle w:val="ListBullet"/>
        <w:spacing w:after="80" w:line="276" w:lineRule="auto"/>
      </w:pPr>
      <w:r>
        <w:rPr>
          <w:rFonts w:ascii="Calibri" w:hAnsi="Calibri"/>
          <w:b/>
          <w:color w:val="262626"/>
          <w:sz w:val="21"/>
        </w:rPr>
        <w:t xml:space="preserve">3. Publications &amp; Interactions Sociales : </w:t>
      </w:r>
      <w:r>
        <w:rPr>
          <w:rFonts w:ascii="Calibri" w:hAnsi="Calibri"/>
          <w:color w:val="262626"/>
          <w:sz w:val="21"/>
        </w:rPr>
        <w:t>posts, comments, comment_replies, likes, reports.</w:t>
      </w:r>
    </w:p>
    <w:p>
      <w:pPr>
        <w:pStyle w:val="ListBullet"/>
        <w:spacing w:after="80" w:line="276" w:lineRule="auto"/>
      </w:pPr>
      <w:r>
        <w:rPr>
          <w:rFonts w:ascii="Calibri" w:hAnsi="Calibri"/>
          <w:b/>
          <w:color w:val="262626"/>
          <w:sz w:val="21"/>
        </w:rPr>
        <w:t xml:space="preserve">4. Monétisation PayDunya &amp; Système : </w:t>
      </w:r>
      <w:r>
        <w:rPr>
          <w:rFonts w:ascii="Calibri" w:hAnsi="Calibri"/>
          <w:color w:val="262626"/>
          <w:sz w:val="21"/>
        </w:rPr>
        <w:t>plans, subscriptions, payments, transactions, settings.</w:t>
      </w:r>
    </w:p>
    <w:p>
      <w:pPr>
        <w:pStyle w:val="ListBullet"/>
        <w:spacing w:after="80" w:line="276" w:lineRule="auto"/>
      </w:pPr>
      <w:r>
        <w:rPr>
          <w:rFonts w:ascii="Calibri" w:hAnsi="Calibri"/>
          <w:b/>
          <w:color w:val="262626"/>
          <w:sz w:val="21"/>
        </w:rPr>
        <w:t xml:space="preserve">5. Messagerie Temps Réel : </w:t>
      </w:r>
      <w:r>
        <w:rPr>
          <w:rFonts w:ascii="Calibri" w:hAnsi="Calibri"/>
          <w:color w:val="262626"/>
          <w:sz w:val="21"/>
        </w:rPr>
        <w:t>conversations, messages.</w:t>
      </w:r>
    </w:p>
    <w:p>
      <w:r>
        <w:br w:type="page"/>
      </w:r>
    </w:p>
    <w:p>
      <w:pPr>
        <w:keepNext/>
        <w:spacing w:before="360" w:after="160"/>
      </w:pPr>
      <w:r>
        <w:rPr>
          <w:rFonts w:ascii="Calibri" w:hAnsi="Calibri"/>
          <w:b/>
          <w:color w:val="1B365D"/>
          <w:sz w:val="32"/>
        </w:rPr>
        <w:t>DEUXIÈME PARTIE : PLAN D'IMPLÉMENTATION ET DIAGRAMMES DE FLUX DU MODULE LOCATIF (LOTS 10 À 16)</w:t>
      </w:r>
    </w:p>
    <w:tbl>
      <w:tblPr>
        <w:tblW w:type="auto" w:w="0"/>
        <w:jc w:val="center"/>
        <w:tblLook w:firstColumn="1" w:firstRow="1" w:lastColumn="0" w:lastRow="0" w:noHBand="0" w:noVBand="1" w:val="04A0"/>
      </w:tblPr>
      <w:tblGrid>
        <w:gridCol w:w="9360"/>
      </w:tblGrid>
      <w:tr>
        <w:tc>
          <w:tcPr>
            <w:tcW w:type="dxa" w:w="9360"/>
            <w:shd w:fill="F2F4F7"/>
            <w:tcBorders>
              <w:left w:val="single" w:sz="24" w:space="0" w:color="1F4E78"/>
              <w:top w:val="none"/>
              <w:right w:val="none"/>
              <w:bottom w:val="none"/>
            </w:tcBorders>
          </w:tcPr>
          <w:p>
            <w:pPr>
              <w:spacing w:before="120" w:after="80"/>
            </w:pPr>
            <w:r>
              <w:rPr>
                <w:rFonts w:ascii="Calibri" w:hAnsi="Calibri"/>
                <w:b/>
                <w:color w:val="1B365D"/>
                <w:sz w:val="22"/>
              </w:rPr>
              <w:t>📌 EXTENSION STRATÉGIQUE MAJEURE DE LA PLATEFORME</w:t>
              <w:br/>
            </w:r>
            <w:r>
              <w:rPr>
                <w:rFonts w:ascii="Calibri" w:hAnsi="Calibri"/>
                <w:color w:val="333333"/>
                <w:sz w:val="20"/>
              </w:rPr>
              <w:t>Le module de Gestion Locative (Lots 10 à 16) fait passer Immo Prestige d'un portail de mise en relation à un outil complet de gestion locative récurrente. Il couvre tout le cycle de vie : dossier de candidature, contrat de bail, signature électronique, encaissement automatique des loyers par PayDunya/Espèces et gestion des incidents de maintenance.</w:t>
            </w:r>
          </w:p>
        </w:tc>
      </w:tr>
    </w:tbl>
    <w:p>
      <w:pPr>
        <w:spacing w:after="120"/>
      </w:pPr>
    </w:p>
    <w:p>
      <w:pPr>
        <w:keepNext/>
        <w:spacing w:before="280" w:after="120"/>
      </w:pPr>
      <w:r>
        <w:rPr>
          <w:rFonts w:ascii="Calibri" w:hAnsi="Calibri"/>
          <w:b/>
          <w:color w:val="2E75B6"/>
          <w:sz w:val="26"/>
        </w:rPr>
        <w:t>I- Contexte et Décisions d'Architecture de la Gestion Locative</w:t>
      </w:r>
    </w:p>
    <w:p>
      <w:pPr>
        <w:keepNext/>
        <w:spacing w:before="200" w:after="80"/>
      </w:pPr>
      <w:r>
        <w:rPr>
          <w:rFonts w:ascii="Calibri" w:hAnsi="Calibri"/>
          <w:b/>
          <w:i/>
          <w:color w:val="333333"/>
          <w:sz w:val="22"/>
        </w:rPr>
        <w:t>a. Spécialisation 1:1 de l'entité Bien (properties)</w:t>
      </w:r>
    </w:p>
    <w:p>
      <w:pPr>
        <w:spacing w:after="120" w:line="276" w:lineRule="auto"/>
      </w:pPr>
      <w:r>
        <w:rPr>
          <w:rFonts w:ascii="Calibri" w:hAnsi="Calibri"/>
          <w:color w:val="262626"/>
          <w:sz w:val="22"/>
        </w:rPr>
        <w:t>Pour éviter de polluer la table des biens avec des colonnes nullables propres à la vente ou à la location, nous avons adopté une spécialisation en MERISE avec contrainte de totalité (T) :</w:t>
      </w:r>
    </w:p>
    <w:p>
      <w:pPr>
        <w:pStyle w:val="ListBullet"/>
        <w:spacing w:after="80" w:line="276" w:lineRule="auto"/>
      </w:pPr>
      <w:r>
        <w:rPr>
          <w:rFonts w:ascii="Calibri" w:hAnsi="Calibri"/>
          <w:b/>
          <w:color w:val="262626"/>
          <w:sz w:val="21"/>
        </w:rPr>
        <w:t xml:space="preserve">• property_sale_details (1:1 avec properties) : </w:t>
      </w:r>
      <w:r>
        <w:rPr>
          <w:rFonts w:ascii="Calibri" w:hAnsi="Calibri"/>
          <w:color w:val="262626"/>
          <w:sz w:val="21"/>
        </w:rPr>
        <w:t>Contient le prix de vente et la négociabilité.</w:t>
      </w:r>
    </w:p>
    <w:p>
      <w:pPr>
        <w:pStyle w:val="ListBullet"/>
        <w:spacing w:after="80" w:line="276" w:lineRule="auto"/>
      </w:pPr>
      <w:r>
        <w:rPr>
          <w:rFonts w:ascii="Calibri" w:hAnsi="Calibri"/>
          <w:b/>
          <w:color w:val="262626"/>
          <w:sz w:val="21"/>
        </w:rPr>
        <w:t xml:space="preserve">• property_rental_details (1:1 avec properties) : </w:t>
      </w:r>
      <w:r>
        <w:rPr>
          <w:rFonts w:ascii="Calibri" w:hAnsi="Calibri"/>
          <w:color w:val="262626"/>
          <w:sz w:val="21"/>
        </w:rPr>
        <w:t>Contient le loyer mensuel, les charges, la caution, le nombre de mois d'avance et la durée minimale de bail.</w:t>
      </w:r>
    </w:p>
    <w:p>
      <w:pPr>
        <w:spacing w:after="120" w:line="276" w:lineRule="auto"/>
      </w:pPr>
      <w:r>
        <w:rPr>
          <w:rFonts w:ascii="Calibri" w:hAnsi="Calibri"/>
          <w:color w:val="262626"/>
          <w:sz w:val="22"/>
        </w:rPr>
        <w:t>Le discriminant transaction_type ('sale', 'rent', 'both') sur la table mère permet à un bien d'être proposé simultanément à la vente et à la location.</w:t>
      </w:r>
    </w:p>
    <w:p>
      <w:pPr>
        <w:keepNext/>
        <w:spacing w:before="200" w:after="80"/>
      </w:pPr>
      <w:r>
        <w:rPr>
          <w:rFonts w:ascii="Calibri" w:hAnsi="Calibri"/>
          <w:b/>
          <w:i/>
          <w:color w:val="333333"/>
          <w:sz w:val="22"/>
        </w:rPr>
        <w:t>b. Extension du Système de Paiement (PayDunya &amp; Espèces)</w:t>
      </w:r>
    </w:p>
    <w:p>
      <w:pPr>
        <w:spacing w:after="120" w:line="276" w:lineRule="auto"/>
      </w:pPr>
      <w:r>
        <w:rPr>
          <w:rFonts w:ascii="Calibri" w:hAnsi="Calibri"/>
          <w:color w:val="262626"/>
          <w:sz w:val="22"/>
        </w:rPr>
        <w:t>La table payments existante est étendue avec de nouveaux motifs (purpose = 'rent', 'deposit'). Contrairement aux abonnements (payés par l'agence à la plateforme), les loyers sont payés par le locataire (payer_user_id) à destination de l'agence (agency_id). Tous les montants locatifs encaissés sont représentés en unsignedBigInteger et exprimés exclusivement en Francs CFA (XOF).</w:t>
      </w:r>
    </w:p>
    <w:p>
      <w:pPr>
        <w:keepNext/>
        <w:spacing w:before="200" w:after="80"/>
      </w:pPr>
      <w:r>
        <w:rPr>
          <w:rFonts w:ascii="Calibri" w:hAnsi="Calibri"/>
          <w:b/>
          <w:i/>
          <w:color w:val="333333"/>
          <w:sz w:val="22"/>
        </w:rPr>
        <w:t>c. Système de Notifications Tri-Canal (Database, Reverb, Mail)</w:t>
      </w:r>
    </w:p>
    <w:p>
      <w:pPr>
        <w:spacing w:after="120" w:line="276" w:lineRule="auto"/>
      </w:pPr>
      <w:r>
        <w:rPr>
          <w:rFonts w:ascii="Calibri" w:hAnsi="Calibri"/>
          <w:color w:val="262626"/>
          <w:sz w:val="22"/>
        </w:rPr>
        <w:t>Le workflow locatif repose sur un système de notifications sur trois canaux simultanés :</w:t>
      </w:r>
    </w:p>
    <w:p>
      <w:pPr>
        <w:pStyle w:val="ListBullet"/>
        <w:spacing w:after="80" w:line="276" w:lineRule="auto"/>
      </w:pPr>
      <w:r>
        <w:rPr>
          <w:rFonts w:ascii="Calibri" w:hAnsi="Calibri"/>
          <w:b/>
          <w:color w:val="262626"/>
          <w:sz w:val="21"/>
        </w:rPr>
        <w:t xml:space="preserve">1. Canal Database : </w:t>
      </w:r>
      <w:r>
        <w:rPr>
          <w:rFonts w:ascii="Calibri" w:hAnsi="Calibri"/>
          <w:color w:val="262626"/>
          <w:sz w:val="21"/>
        </w:rPr>
        <w:t>Historique dans l'application et compteurs de non-lus.</w:t>
      </w:r>
    </w:p>
    <w:p>
      <w:pPr>
        <w:pStyle w:val="ListBullet"/>
        <w:spacing w:after="80" w:line="276" w:lineRule="auto"/>
      </w:pPr>
      <w:r>
        <w:rPr>
          <w:rFonts w:ascii="Calibri" w:hAnsi="Calibri"/>
          <w:b/>
          <w:color w:val="262626"/>
          <w:sz w:val="21"/>
        </w:rPr>
        <w:t xml:space="preserve">2. Canal Broadcast (Reverb) : </w:t>
      </w:r>
      <w:r>
        <w:rPr>
          <w:rFonts w:ascii="Calibri" w:hAnsi="Calibri"/>
          <w:color w:val="262626"/>
          <w:sz w:val="21"/>
        </w:rPr>
        <w:t>Mise à jour instantanée des interfaces via WebSockets Reverb.</w:t>
      </w:r>
    </w:p>
    <w:p>
      <w:pPr>
        <w:pStyle w:val="ListBullet"/>
        <w:spacing w:after="80" w:line="276" w:lineRule="auto"/>
      </w:pPr>
      <w:r>
        <w:rPr>
          <w:rFonts w:ascii="Calibri" w:hAnsi="Calibri"/>
          <w:b/>
          <w:color w:val="262626"/>
          <w:sz w:val="21"/>
        </w:rPr>
        <w:t xml:space="preserve">3. Canal Mail : </w:t>
      </w:r>
      <w:r>
        <w:rPr>
          <w:rFonts w:ascii="Calibri" w:hAnsi="Calibri"/>
          <w:color w:val="262626"/>
          <w:sz w:val="21"/>
        </w:rPr>
        <w:t>Envoi ciblé de courriels uniquement pour les événements actionnables ou financiers (ex: contrat à signer, avis d'échéance, quittance).</w:t>
      </w:r>
    </w:p>
    <w:p>
      <w:pPr>
        <w:keepNext/>
        <w:spacing w:before="280" w:after="120"/>
      </w:pPr>
      <w:r>
        <w:rPr>
          <w:rFonts w:ascii="Calibri" w:hAnsi="Calibri"/>
          <w:b/>
          <w:color w:val="2E75B6"/>
          <w:sz w:val="26"/>
        </w:rPr>
        <w:t>II- Diagrammes de Flux et Processus Métier de la Gestion Locative</w:t>
      </w:r>
    </w:p>
    <w:p>
      <w:pPr>
        <w:keepNext/>
        <w:spacing w:before="200" w:after="80"/>
      </w:pPr>
      <w:r>
        <w:rPr>
          <w:rFonts w:ascii="Calibri" w:hAnsi="Calibri"/>
          <w:b/>
          <w:i/>
          <w:color w:val="333333"/>
          <w:sz w:val="22"/>
        </w:rPr>
        <w:t>a. Flux 1 : Demande de location et instruction du dossier</w:t>
      </w:r>
    </w:p>
    <w:p>
      <w:pPr>
        <w:spacing w:after="120" w:line="276" w:lineRule="auto"/>
      </w:pPr>
      <w:r>
        <w:rPr>
          <w:rFonts w:ascii="Calibri" w:hAnsi="Calibri"/>
          <w:color w:val="262626"/>
          <w:sz w:val="22"/>
        </w:rPr>
        <w:t>1. Le candidat locataire consulte une fiche bien en location et soumet sa candidature (date d'entrée souhaitée, durée, message) accompagnée de ses pièces justificatives (pièce d'identité, bulletins de paie, contrat de travail).</w:t>
        <w:br/>
        <w:t>2. Le système crée la demande rental_applications avec le statut 'submitted' et notifie l'agence.</w:t>
        <w:br/>
        <w:t>3. L'agence étudie le dossier et peut soit demander des pièces complémentaires ('documents_requested'), soit accepter ('accepted'), soit rejeter ('rejected') la candidature.</w:t>
      </w:r>
    </w:p>
    <w:p>
      <w:pPr>
        <w:keepNext/>
        <w:spacing w:before="200" w:after="80"/>
      </w:pPr>
      <w:r>
        <w:rPr>
          <w:rFonts w:ascii="Calibri" w:hAnsi="Calibri"/>
          <w:b/>
          <w:i/>
          <w:color w:val="333333"/>
          <w:sz w:val="22"/>
        </w:rPr>
        <w:t>b. Flux 2 : Génération du contrat de bail, signature &amp; caution</w:t>
      </w:r>
    </w:p>
    <w:p>
      <w:pPr>
        <w:spacing w:after="120" w:line="276" w:lineRule="auto"/>
      </w:pPr>
      <w:r>
        <w:rPr>
          <w:rFonts w:ascii="Calibri" w:hAnsi="Calibri"/>
          <w:color w:val="262626"/>
          <w:sz w:val="22"/>
        </w:rPr>
        <w:t>1. À la suite d'une candidature acceptée, l'agence génère un projet de contrat de bail (leases) à partir d'un modèle (contract_templates) avec intégration automatique des clauses obligatoires.</w:t>
        <w:br/>
        <w:t>2. Le système produit le contrat au format PDF et passe le bail en statut 'pending_signature'.</w:t>
        <w:br/>
        <w:t>3. Le locataire consulte le document et effectue la signature électronique (ou téléverse le scan signé).</w:t>
        <w:br/>
        <w:t>4. Le bail passe en statut 'pending_payment'. Le locataire effectue le paiement initial (caution + premier loyer + avance) via PayDunya ou au comptoir de l'agence.</w:t>
        <w:br/>
        <w:t>5. Une fois le paiement validé, le bail devient officiellement 'active' et la disponibilité du bien passe à 'rented'.</w:t>
      </w:r>
    </w:p>
    <w:p>
      <w:pPr>
        <w:keepNext/>
        <w:spacing w:before="200" w:after="80"/>
      </w:pPr>
      <w:r>
        <w:rPr>
          <w:rFonts w:ascii="Calibri" w:hAnsi="Calibri"/>
          <w:b/>
          <w:i/>
          <w:color w:val="333333"/>
          <w:sz w:val="22"/>
        </w:rPr>
        <w:t>c. Flux 3 : Appel d'échéance, paiement mensuel &amp; quittances</w:t>
      </w:r>
    </w:p>
    <w:p>
      <w:pPr>
        <w:spacing w:after="120" w:line="276" w:lineRule="auto"/>
      </w:pPr>
      <w:r>
        <w:rPr>
          <w:rFonts w:ascii="Calibri" w:hAnsi="Calibri"/>
          <w:color w:val="262626"/>
          <w:sz w:val="22"/>
        </w:rPr>
        <w:t>1. Une tâche planifiée automatisée (cron) génère 10 jours avant chaque échéance mensuelle une ligne lease_installments en statut 'pending' et émet un avis d'échéance par e-mail et notification.</w:t>
        <w:br/>
        <w:t>2. Le locataire effectue son règlement via PayDunya (Mobile Money / Carte) ou en espèces auprès de l'agence.</w:t>
        <w:br/>
        <w:t>3. Lors de la confirmation du paiement, l'échéance passe au statut 'paid'.</w:t>
        <w:br/>
        <w:t>4. Le système génère automatiquement la quittance de loyer officielle au format PDF (avec référence unique QUIT-AAAA-NNNNN) et la rend téléchargeable pour le locataire.</w:t>
      </w:r>
    </w:p>
    <w:p>
      <w:pPr>
        <w:keepNext/>
        <w:spacing w:before="200" w:after="80"/>
      </w:pPr>
      <w:r>
        <w:rPr>
          <w:rFonts w:ascii="Calibri" w:hAnsi="Calibri"/>
          <w:b/>
          <w:i/>
          <w:color w:val="333333"/>
          <w:sz w:val="22"/>
        </w:rPr>
        <w:t>d. Flux 4 : Suivi des incidents et tickets de maintenance</w:t>
      </w:r>
    </w:p>
    <w:p>
      <w:pPr>
        <w:spacing w:after="120" w:line="276" w:lineRule="auto"/>
      </w:pPr>
      <w:r>
        <w:rPr>
          <w:rFonts w:ascii="Calibri" w:hAnsi="Calibri"/>
          <w:color w:val="262626"/>
          <w:sz w:val="22"/>
        </w:rPr>
        <w:t>1. En cours de bail, le locataire peut déclarer un problème technique dans le logement (plomberie, électricité, structure) en créant un ticket maintenance_tickets avec photos.</w:t>
        <w:br/>
        <w:t>2. L'agence reçoit une notification instantanée et fait passer le ticket en statut 'acknowledged' puis 'in_progress'.</w:t>
        <w:br/>
        <w:t>3. L'agence et le locataire peuvent échanger des messages spécifiques au sein du ticket.</w:t>
        <w:br/>
        <w:t>4. Une fois l'intervention réalisée, l'agence clôture le ticket avec une note de résolution ('resolved' puis 'closed').</w:t>
      </w:r>
    </w:p>
    <w:p>
      <w:pPr>
        <w:keepNext/>
        <w:spacing w:before="280" w:after="120"/>
      </w:pPr>
      <w:r>
        <w:rPr>
          <w:rFonts w:ascii="Calibri" w:hAnsi="Calibri"/>
          <w:b/>
          <w:color w:val="2E75B6"/>
          <w:sz w:val="26"/>
        </w:rPr>
        <w:t>III- Modélisation MERISE Étendue pour la Gestion Locative</w:t>
      </w:r>
    </w:p>
    <w:p>
      <w:pPr>
        <w:keepNext/>
        <w:spacing w:before="200" w:after="80"/>
      </w:pPr>
      <w:r>
        <w:rPr>
          <w:rFonts w:ascii="Calibri" w:hAnsi="Calibri"/>
          <w:b/>
          <w:i/>
          <w:color w:val="333333"/>
          <w:sz w:val="22"/>
        </w:rPr>
        <w:t>a. Dictionnaire de Données Étendu (Gestion Locative)</w:t>
      </w:r>
    </w:p>
    <w:tbl>
      <w:tblPr>
        <w:tblW w:type="auto" w:w="0"/>
        <w:tblLook w:firstColumn="1" w:firstRow="1" w:lastColumn="0" w:lastRow="0" w:noHBand="0" w:noVBand="1" w:val="04A0"/>
        <w:tblBorders>
          <w:top w:val="single" w:sz="6" w:space="0" w:color="CCCCCC"/>
          <w:bottom w:val="single" w:sz="6" w:space="0" w:color="CCCCCC"/>
          <w:insideH w:val="single" w:sz="4" w:space="0" w:color="CCCCCC"/>
          <w:insideV w:val="none"/>
          <w:left w:val="none"/>
          <w:right w:val="none"/>
        </w:tblBorders>
      </w:tblPr>
      <w:tblGrid>
        <w:gridCol w:w="2340"/>
        <w:gridCol w:w="2340"/>
        <w:gridCol w:w="2340"/>
        <w:gridCol w:w="2340"/>
      </w:tblGrid>
      <w:tr>
        <w:tc>
          <w:tcPr>
            <w:tcW w:type="dxa" w:w="2340"/>
            <w:shd w:fill="1F4E78"/>
          </w:tcPr>
          <w:p>
            <w:pPr>
              <w:spacing w:before="120" w:after="120"/>
              <w:jc w:val="left"/>
            </w:pPr>
            <w:r>
              <w:rPr>
                <w:rFonts w:ascii="Calibri" w:hAnsi="Calibri"/>
                <w:b/>
                <w:color w:val="FFFFFF"/>
                <w:sz w:val="20"/>
              </w:rPr>
              <w:t>Nom de la Colonne (Base)</w:t>
            </w:r>
          </w:p>
        </w:tc>
        <w:tc>
          <w:tcPr>
            <w:tcW w:type="dxa" w:w="2340"/>
            <w:shd w:fill="1F4E78"/>
          </w:tcPr>
          <w:p>
            <w:pPr>
              <w:spacing w:before="120" w:after="120"/>
              <w:jc w:val="left"/>
            </w:pPr>
            <w:r>
              <w:rPr>
                <w:rFonts w:ascii="Calibri" w:hAnsi="Calibri"/>
                <w:b/>
                <w:color w:val="FFFFFF"/>
                <w:sz w:val="20"/>
              </w:rPr>
              <w:t>Libellé (Documentation)</w:t>
            </w:r>
          </w:p>
        </w:tc>
        <w:tc>
          <w:tcPr>
            <w:tcW w:type="dxa" w:w="2340"/>
            <w:shd w:fill="1F4E78"/>
          </w:tcPr>
          <w:p>
            <w:pPr>
              <w:spacing w:before="120" w:after="120"/>
              <w:jc w:val="left"/>
            </w:pPr>
            <w:r>
              <w:rPr>
                <w:rFonts w:ascii="Calibri" w:hAnsi="Calibri"/>
                <w:b/>
                <w:color w:val="FFFFFF"/>
                <w:sz w:val="20"/>
              </w:rPr>
              <w:t>Type / Format</w:t>
            </w:r>
          </w:p>
        </w:tc>
        <w:tc>
          <w:tcPr>
            <w:tcW w:type="dxa" w:w="2340"/>
            <w:shd w:fill="1F4E78"/>
          </w:tcPr>
          <w:p>
            <w:pPr>
              <w:spacing w:before="120" w:after="120"/>
              <w:jc w:val="left"/>
            </w:pPr>
            <w:r>
              <w:rPr>
                <w:rFonts w:ascii="Calibri" w:hAnsi="Calibri"/>
                <w:b/>
                <w:color w:val="FFFFFF"/>
                <w:sz w:val="20"/>
              </w:rPr>
              <w:t>Description &amp; Contraintes</w:t>
            </w:r>
          </w:p>
        </w:tc>
      </w:tr>
      <w:tr>
        <w:tc>
          <w:tcPr>
            <w:tcW w:type="dxa" w:w="2304"/>
            <w:shd w:fill="F9FAFC"/>
          </w:tcPr>
          <w:p>
            <w:pPr>
              <w:spacing w:before="80" w:after="80"/>
              <w:jc w:val="left"/>
            </w:pPr>
            <w:r>
              <w:rPr>
                <w:rFonts w:ascii="Calibri" w:hAnsi="Calibri"/>
                <w:b/>
                <w:i w:val="0"/>
                <w:color w:val="262626"/>
                <w:sz w:val="19"/>
              </w:rPr>
              <w:t>rent_amount</w:t>
            </w:r>
          </w:p>
        </w:tc>
        <w:tc>
          <w:tcPr>
            <w:tcW w:type="dxa" w:w="2160"/>
            <w:shd w:fill="F9FAFC"/>
          </w:tcPr>
          <w:p>
            <w:pPr>
              <w:spacing w:before="80" w:after="80"/>
              <w:jc w:val="left"/>
            </w:pPr>
            <w:r>
              <w:rPr>
                <w:rFonts w:ascii="Calibri" w:hAnsi="Calibri"/>
                <w:b w:val="0"/>
                <w:i w:val="0"/>
                <w:color w:val="262626"/>
                <w:sz w:val="19"/>
              </w:rPr>
              <w:t>Loyer Mensuel</w:t>
            </w:r>
          </w:p>
        </w:tc>
        <w:tc>
          <w:tcPr>
            <w:tcW w:type="dxa" w:w="1872"/>
            <w:shd w:fill="F9FAFC"/>
          </w:tcPr>
          <w:p>
            <w:pPr>
              <w:spacing w:before="80" w:after="80"/>
              <w:jc w:val="left"/>
            </w:pPr>
            <w:r>
              <w:rPr>
                <w:rFonts w:ascii="Calibri" w:hAnsi="Calibri"/>
                <w:b w:val="0"/>
                <w:i w:val="0"/>
                <w:color w:val="262626"/>
                <w:sz w:val="19"/>
              </w:rPr>
              <w:t>unsignedBigInteger</w:t>
            </w:r>
          </w:p>
        </w:tc>
        <w:tc>
          <w:tcPr>
            <w:tcW w:type="dxa" w:w="3024"/>
            <w:shd w:fill="F9FAFC"/>
          </w:tcPr>
          <w:p>
            <w:pPr>
              <w:spacing w:before="80" w:after="80"/>
              <w:jc w:val="left"/>
            </w:pPr>
            <w:r>
              <w:rPr>
                <w:rFonts w:ascii="Calibri" w:hAnsi="Calibri"/>
                <w:b w:val="0"/>
                <w:i w:val="0"/>
                <w:color w:val="262626"/>
                <w:sz w:val="19"/>
              </w:rPr>
              <w:t>Montant du loyer hors charges en FCFA (XOF)</w:t>
            </w:r>
          </w:p>
        </w:tc>
      </w:tr>
      <w:tr>
        <w:tc>
          <w:tcPr>
            <w:tcW w:type="dxa" w:w="2304"/>
            <w:shd w:fill="FFFFFF"/>
          </w:tcPr>
          <w:p>
            <w:pPr>
              <w:spacing w:before="80" w:after="80"/>
              <w:jc w:val="left"/>
            </w:pPr>
            <w:r>
              <w:rPr>
                <w:rFonts w:ascii="Calibri" w:hAnsi="Calibri"/>
                <w:b/>
                <w:i w:val="0"/>
                <w:color w:val="262626"/>
                <w:sz w:val="19"/>
              </w:rPr>
              <w:t>charges_amount</w:t>
            </w:r>
          </w:p>
        </w:tc>
        <w:tc>
          <w:tcPr>
            <w:tcW w:type="dxa" w:w="2160"/>
            <w:shd w:fill="FFFFFF"/>
          </w:tcPr>
          <w:p>
            <w:pPr>
              <w:spacing w:before="80" w:after="80"/>
              <w:jc w:val="left"/>
            </w:pPr>
            <w:r>
              <w:rPr>
                <w:rFonts w:ascii="Calibri" w:hAnsi="Calibri"/>
                <w:b w:val="0"/>
                <w:i w:val="0"/>
                <w:color w:val="262626"/>
                <w:sz w:val="19"/>
              </w:rPr>
              <w:t>Charges Mensuelles</w:t>
            </w:r>
          </w:p>
        </w:tc>
        <w:tc>
          <w:tcPr>
            <w:tcW w:type="dxa" w:w="1872"/>
            <w:shd w:fill="FFFFFF"/>
          </w:tcPr>
          <w:p>
            <w:pPr>
              <w:spacing w:before="80" w:after="80"/>
              <w:jc w:val="left"/>
            </w:pPr>
            <w:r>
              <w:rPr>
                <w:rFonts w:ascii="Calibri" w:hAnsi="Calibri"/>
                <w:b w:val="0"/>
                <w:i w:val="0"/>
                <w:color w:val="262626"/>
                <w:sz w:val="19"/>
              </w:rPr>
              <w:t>unsignedBigInteger</w:t>
            </w:r>
          </w:p>
        </w:tc>
        <w:tc>
          <w:tcPr>
            <w:tcW w:type="dxa" w:w="3024"/>
            <w:shd w:fill="FFFFFF"/>
          </w:tcPr>
          <w:p>
            <w:pPr>
              <w:spacing w:before="80" w:after="80"/>
              <w:jc w:val="left"/>
            </w:pPr>
            <w:r>
              <w:rPr>
                <w:rFonts w:ascii="Calibri" w:hAnsi="Calibri"/>
                <w:b w:val="0"/>
                <w:i w:val="0"/>
                <w:color w:val="262626"/>
                <w:sz w:val="19"/>
              </w:rPr>
              <w:t>Montant des charges mensuelles en FCFA</w:t>
            </w:r>
          </w:p>
        </w:tc>
      </w:tr>
      <w:tr>
        <w:tc>
          <w:tcPr>
            <w:tcW w:type="dxa" w:w="2304"/>
            <w:shd w:fill="F9FAFC"/>
          </w:tcPr>
          <w:p>
            <w:pPr>
              <w:spacing w:before="80" w:after="80"/>
              <w:jc w:val="left"/>
            </w:pPr>
            <w:r>
              <w:rPr>
                <w:rFonts w:ascii="Calibri" w:hAnsi="Calibri"/>
                <w:b/>
                <w:i w:val="0"/>
                <w:color w:val="262626"/>
                <w:sz w:val="19"/>
              </w:rPr>
              <w:t>deposit_amount</w:t>
            </w:r>
          </w:p>
        </w:tc>
        <w:tc>
          <w:tcPr>
            <w:tcW w:type="dxa" w:w="2160"/>
            <w:shd w:fill="F9FAFC"/>
          </w:tcPr>
          <w:p>
            <w:pPr>
              <w:spacing w:before="80" w:after="80"/>
              <w:jc w:val="left"/>
            </w:pPr>
            <w:r>
              <w:rPr>
                <w:rFonts w:ascii="Calibri" w:hAnsi="Calibri"/>
                <w:b w:val="0"/>
                <w:i w:val="0"/>
                <w:color w:val="262626"/>
                <w:sz w:val="19"/>
              </w:rPr>
              <w:t>Montant Caution</w:t>
            </w:r>
          </w:p>
        </w:tc>
        <w:tc>
          <w:tcPr>
            <w:tcW w:type="dxa" w:w="1872"/>
            <w:shd w:fill="F9FAFC"/>
          </w:tcPr>
          <w:p>
            <w:pPr>
              <w:spacing w:before="80" w:after="80"/>
              <w:jc w:val="left"/>
            </w:pPr>
            <w:r>
              <w:rPr>
                <w:rFonts w:ascii="Calibri" w:hAnsi="Calibri"/>
                <w:b w:val="0"/>
                <w:i w:val="0"/>
                <w:color w:val="262626"/>
                <w:sz w:val="19"/>
              </w:rPr>
              <w:t>unsignedBigInteger</w:t>
            </w:r>
          </w:p>
        </w:tc>
        <w:tc>
          <w:tcPr>
            <w:tcW w:type="dxa" w:w="3024"/>
            <w:shd w:fill="F9FAFC"/>
          </w:tcPr>
          <w:p>
            <w:pPr>
              <w:spacing w:before="80" w:after="80"/>
              <w:jc w:val="left"/>
            </w:pPr>
            <w:r>
              <w:rPr>
                <w:rFonts w:ascii="Calibri" w:hAnsi="Calibri"/>
                <w:b w:val="0"/>
                <w:i w:val="0"/>
                <w:color w:val="262626"/>
                <w:sz w:val="19"/>
              </w:rPr>
              <w:t>Dépôt de garantie exigé à l'entrée</w:t>
            </w:r>
          </w:p>
        </w:tc>
      </w:tr>
      <w:tr>
        <w:tc>
          <w:tcPr>
            <w:tcW w:type="dxa" w:w="2304"/>
            <w:shd w:fill="FFFFFF"/>
          </w:tcPr>
          <w:p>
            <w:pPr>
              <w:spacing w:before="80" w:after="80"/>
              <w:jc w:val="left"/>
            </w:pPr>
            <w:r>
              <w:rPr>
                <w:rFonts w:ascii="Calibri" w:hAnsi="Calibri"/>
                <w:b/>
                <w:i w:val="0"/>
                <w:color w:val="262626"/>
                <w:sz w:val="19"/>
              </w:rPr>
              <w:t>advance_months</w:t>
            </w:r>
          </w:p>
        </w:tc>
        <w:tc>
          <w:tcPr>
            <w:tcW w:type="dxa" w:w="2160"/>
            <w:shd w:fill="FFFFFF"/>
          </w:tcPr>
          <w:p>
            <w:pPr>
              <w:spacing w:before="80" w:after="80"/>
              <w:jc w:val="left"/>
            </w:pPr>
            <w:r>
              <w:rPr>
                <w:rFonts w:ascii="Calibri" w:hAnsi="Calibri"/>
                <w:b w:val="0"/>
                <w:i w:val="0"/>
                <w:color w:val="262626"/>
                <w:sz w:val="19"/>
              </w:rPr>
              <w:t>Mois d'Avance</w:t>
            </w:r>
          </w:p>
        </w:tc>
        <w:tc>
          <w:tcPr>
            <w:tcW w:type="dxa" w:w="1872"/>
            <w:shd w:fill="FFFFFF"/>
          </w:tcPr>
          <w:p>
            <w:pPr>
              <w:spacing w:before="80" w:after="80"/>
              <w:jc w:val="left"/>
            </w:pPr>
            <w:r>
              <w:rPr>
                <w:rFonts w:ascii="Calibri" w:hAnsi="Calibri"/>
                <w:b w:val="0"/>
                <w:i w:val="0"/>
                <w:color w:val="262626"/>
                <w:sz w:val="19"/>
              </w:rPr>
              <w:t>unsignedTinyInteger</w:t>
            </w:r>
          </w:p>
        </w:tc>
        <w:tc>
          <w:tcPr>
            <w:tcW w:type="dxa" w:w="3024"/>
            <w:shd w:fill="FFFFFF"/>
          </w:tcPr>
          <w:p>
            <w:pPr>
              <w:spacing w:before="80" w:after="80"/>
              <w:jc w:val="left"/>
            </w:pPr>
            <w:r>
              <w:rPr>
                <w:rFonts w:ascii="Calibri" w:hAnsi="Calibri"/>
                <w:b w:val="0"/>
                <w:i w:val="0"/>
                <w:color w:val="262626"/>
                <w:sz w:val="19"/>
              </w:rPr>
              <w:t>Nombre de mois de loyer payés d'avance</w:t>
            </w:r>
          </w:p>
        </w:tc>
      </w:tr>
      <w:tr>
        <w:tc>
          <w:tcPr>
            <w:tcW w:type="dxa" w:w="2304"/>
            <w:shd w:fill="F9FAFC"/>
          </w:tcPr>
          <w:p>
            <w:pPr>
              <w:spacing w:before="80" w:after="80"/>
              <w:jc w:val="left"/>
            </w:pPr>
            <w:r>
              <w:rPr>
                <w:rFonts w:ascii="Calibri" w:hAnsi="Calibri"/>
                <w:b/>
                <w:i w:val="0"/>
                <w:color w:val="262626"/>
                <w:sz w:val="19"/>
              </w:rPr>
              <w:t>start_date</w:t>
            </w:r>
          </w:p>
        </w:tc>
        <w:tc>
          <w:tcPr>
            <w:tcW w:type="dxa" w:w="2160"/>
            <w:shd w:fill="F9FAFC"/>
          </w:tcPr>
          <w:p>
            <w:pPr>
              <w:spacing w:before="80" w:after="80"/>
              <w:jc w:val="left"/>
            </w:pPr>
            <w:r>
              <w:rPr>
                <w:rFonts w:ascii="Calibri" w:hAnsi="Calibri"/>
                <w:b w:val="0"/>
                <w:i w:val="0"/>
                <w:color w:val="262626"/>
                <w:sz w:val="19"/>
              </w:rPr>
              <w:t>Date de Début du Bail</w:t>
            </w:r>
          </w:p>
        </w:tc>
        <w:tc>
          <w:tcPr>
            <w:tcW w:type="dxa" w:w="1872"/>
            <w:shd w:fill="F9FAFC"/>
          </w:tcPr>
          <w:p>
            <w:pPr>
              <w:spacing w:before="80" w:after="80"/>
              <w:jc w:val="left"/>
            </w:pPr>
            <w:r>
              <w:rPr>
                <w:rFonts w:ascii="Calibri" w:hAnsi="Calibri"/>
                <w:b w:val="0"/>
                <w:i w:val="0"/>
                <w:color w:val="262626"/>
                <w:sz w:val="19"/>
              </w:rPr>
              <w:t>date</w:t>
            </w:r>
          </w:p>
        </w:tc>
        <w:tc>
          <w:tcPr>
            <w:tcW w:type="dxa" w:w="3024"/>
            <w:shd w:fill="F9FAFC"/>
          </w:tcPr>
          <w:p>
            <w:pPr>
              <w:spacing w:before="80" w:after="80"/>
              <w:jc w:val="left"/>
            </w:pPr>
            <w:r>
              <w:rPr>
                <w:rFonts w:ascii="Calibri" w:hAnsi="Calibri"/>
                <w:b w:val="0"/>
                <w:i w:val="0"/>
                <w:color w:val="262626"/>
                <w:sz w:val="19"/>
              </w:rPr>
              <w:t>Date de prise d'effet du contrat de bail</w:t>
            </w:r>
          </w:p>
        </w:tc>
      </w:tr>
      <w:tr>
        <w:tc>
          <w:tcPr>
            <w:tcW w:type="dxa" w:w="2304"/>
            <w:shd w:fill="FFFFFF"/>
          </w:tcPr>
          <w:p>
            <w:pPr>
              <w:spacing w:before="80" w:after="80"/>
              <w:jc w:val="left"/>
            </w:pPr>
            <w:r>
              <w:rPr>
                <w:rFonts w:ascii="Calibri" w:hAnsi="Calibri"/>
                <w:b/>
                <w:i w:val="0"/>
                <w:color w:val="262626"/>
                <w:sz w:val="19"/>
              </w:rPr>
              <w:t>end_date</w:t>
            </w:r>
          </w:p>
        </w:tc>
        <w:tc>
          <w:tcPr>
            <w:tcW w:type="dxa" w:w="2160"/>
            <w:shd w:fill="FFFFFF"/>
          </w:tcPr>
          <w:p>
            <w:pPr>
              <w:spacing w:before="80" w:after="80"/>
              <w:jc w:val="left"/>
            </w:pPr>
            <w:r>
              <w:rPr>
                <w:rFonts w:ascii="Calibri" w:hAnsi="Calibri"/>
                <w:b w:val="0"/>
                <w:i w:val="0"/>
                <w:color w:val="262626"/>
                <w:sz w:val="19"/>
              </w:rPr>
              <w:t>Date de Fin du Bail</w:t>
            </w:r>
          </w:p>
        </w:tc>
        <w:tc>
          <w:tcPr>
            <w:tcW w:type="dxa" w:w="1872"/>
            <w:shd w:fill="FFFFFF"/>
          </w:tcPr>
          <w:p>
            <w:pPr>
              <w:spacing w:before="80" w:after="80"/>
              <w:jc w:val="left"/>
            </w:pPr>
            <w:r>
              <w:rPr>
                <w:rFonts w:ascii="Calibri" w:hAnsi="Calibri"/>
                <w:b w:val="0"/>
                <w:i w:val="0"/>
                <w:color w:val="262626"/>
                <w:sz w:val="19"/>
              </w:rPr>
              <w:t>date</w:t>
            </w:r>
          </w:p>
        </w:tc>
        <w:tc>
          <w:tcPr>
            <w:tcW w:type="dxa" w:w="3024"/>
            <w:shd w:fill="FFFFFF"/>
          </w:tcPr>
          <w:p>
            <w:pPr>
              <w:spacing w:before="80" w:after="80"/>
              <w:jc w:val="left"/>
            </w:pPr>
            <w:r>
              <w:rPr>
                <w:rFonts w:ascii="Calibri" w:hAnsi="Calibri"/>
                <w:b w:val="0"/>
                <w:i w:val="0"/>
                <w:color w:val="262626"/>
                <w:sz w:val="19"/>
              </w:rPr>
              <w:t>Date d'échéance normale du contrat</w:t>
            </w:r>
          </w:p>
        </w:tc>
      </w:tr>
      <w:tr>
        <w:tc>
          <w:tcPr>
            <w:tcW w:type="dxa" w:w="2304"/>
            <w:shd w:fill="F9FAFC"/>
          </w:tcPr>
          <w:p>
            <w:pPr>
              <w:spacing w:before="80" w:after="80"/>
              <w:jc w:val="left"/>
            </w:pPr>
            <w:r>
              <w:rPr>
                <w:rFonts w:ascii="Calibri" w:hAnsi="Calibri"/>
                <w:b/>
                <w:i w:val="0"/>
                <w:color w:val="262626"/>
                <w:sz w:val="19"/>
              </w:rPr>
              <w:t>payment_day</w:t>
            </w:r>
          </w:p>
        </w:tc>
        <w:tc>
          <w:tcPr>
            <w:tcW w:type="dxa" w:w="2160"/>
            <w:shd w:fill="F9FAFC"/>
          </w:tcPr>
          <w:p>
            <w:pPr>
              <w:spacing w:before="80" w:after="80"/>
              <w:jc w:val="left"/>
            </w:pPr>
            <w:r>
              <w:rPr>
                <w:rFonts w:ascii="Calibri" w:hAnsi="Calibri"/>
                <w:b w:val="0"/>
                <w:i w:val="0"/>
                <w:color w:val="262626"/>
                <w:sz w:val="19"/>
              </w:rPr>
              <w:t>Jour d'Échéance</w:t>
            </w:r>
          </w:p>
        </w:tc>
        <w:tc>
          <w:tcPr>
            <w:tcW w:type="dxa" w:w="1872"/>
            <w:shd w:fill="F9FAFC"/>
          </w:tcPr>
          <w:p>
            <w:pPr>
              <w:spacing w:before="80" w:after="80"/>
              <w:jc w:val="left"/>
            </w:pPr>
            <w:r>
              <w:rPr>
                <w:rFonts w:ascii="Calibri" w:hAnsi="Calibri"/>
                <w:b w:val="0"/>
                <w:i w:val="0"/>
                <w:color w:val="262626"/>
                <w:sz w:val="19"/>
              </w:rPr>
              <w:t>unsignedTinyInteger</w:t>
            </w:r>
          </w:p>
        </w:tc>
        <w:tc>
          <w:tcPr>
            <w:tcW w:type="dxa" w:w="3024"/>
            <w:shd w:fill="F9FAFC"/>
          </w:tcPr>
          <w:p>
            <w:pPr>
              <w:spacing w:before="80" w:after="80"/>
              <w:jc w:val="left"/>
            </w:pPr>
            <w:r>
              <w:rPr>
                <w:rFonts w:ascii="Calibri" w:hAnsi="Calibri"/>
                <w:b w:val="0"/>
                <w:i w:val="0"/>
                <w:color w:val="262626"/>
                <w:sz w:val="19"/>
              </w:rPr>
              <w:t>Jour du mois limite de paiement (1 à 28, défaut 5)</w:t>
            </w:r>
          </w:p>
        </w:tc>
      </w:tr>
      <w:tr>
        <w:tc>
          <w:tcPr>
            <w:tcW w:type="dxa" w:w="2304"/>
            <w:shd w:fill="FFFFFF"/>
          </w:tcPr>
          <w:p>
            <w:pPr>
              <w:spacing w:before="80" w:after="80"/>
              <w:jc w:val="left"/>
            </w:pPr>
            <w:r>
              <w:rPr>
                <w:rFonts w:ascii="Calibri" w:hAnsi="Calibri"/>
                <w:b/>
                <w:i w:val="0"/>
                <w:color w:val="262626"/>
                <w:sz w:val="19"/>
              </w:rPr>
              <w:t>lease_status</w:t>
            </w:r>
          </w:p>
        </w:tc>
        <w:tc>
          <w:tcPr>
            <w:tcW w:type="dxa" w:w="2160"/>
            <w:shd w:fill="FFFFFF"/>
          </w:tcPr>
          <w:p>
            <w:pPr>
              <w:spacing w:before="80" w:after="80"/>
              <w:jc w:val="left"/>
            </w:pPr>
            <w:r>
              <w:rPr>
                <w:rFonts w:ascii="Calibri" w:hAnsi="Calibri"/>
                <w:b w:val="0"/>
                <w:i w:val="0"/>
                <w:color w:val="262626"/>
                <w:sz w:val="19"/>
              </w:rPr>
              <w:t>Statut du Bail</w:t>
            </w:r>
          </w:p>
        </w:tc>
        <w:tc>
          <w:tcPr>
            <w:tcW w:type="dxa" w:w="1872"/>
            <w:shd w:fill="FFFFFF"/>
          </w:tcPr>
          <w:p>
            <w:pPr>
              <w:spacing w:before="80" w:after="80"/>
              <w:jc w:val="left"/>
            </w:pPr>
            <w:r>
              <w:rPr>
                <w:rFonts w:ascii="Calibri" w:hAnsi="Calibri"/>
                <w:b w:val="0"/>
                <w:i w:val="0"/>
                <w:color w:val="262626"/>
                <w:sz w:val="19"/>
              </w:rPr>
              <w:t>enum</w:t>
            </w:r>
          </w:p>
        </w:tc>
        <w:tc>
          <w:tcPr>
            <w:tcW w:type="dxa" w:w="3024"/>
            <w:shd w:fill="FFFFFF"/>
          </w:tcPr>
          <w:p>
            <w:pPr>
              <w:spacing w:before="80" w:after="80"/>
              <w:jc w:val="left"/>
            </w:pPr>
            <w:r>
              <w:rPr>
                <w:rFonts w:ascii="Calibri" w:hAnsi="Calibri"/>
                <w:b w:val="0"/>
                <w:i w:val="0"/>
                <w:color w:val="262626"/>
                <w:sz w:val="19"/>
              </w:rPr>
              <w:t>draft, pending_signature, active, terminated, etc.</w:t>
            </w:r>
          </w:p>
        </w:tc>
      </w:tr>
      <w:tr>
        <w:tc>
          <w:tcPr>
            <w:tcW w:type="dxa" w:w="2304"/>
            <w:shd w:fill="F9FAFC"/>
          </w:tcPr>
          <w:p>
            <w:pPr>
              <w:spacing w:before="80" w:after="80"/>
              <w:jc w:val="left"/>
            </w:pPr>
            <w:r>
              <w:rPr>
                <w:rFonts w:ascii="Calibri" w:hAnsi="Calibri"/>
                <w:b/>
                <w:i w:val="0"/>
                <w:color w:val="262626"/>
                <w:sz w:val="19"/>
              </w:rPr>
              <w:t>due_date</w:t>
            </w:r>
          </w:p>
        </w:tc>
        <w:tc>
          <w:tcPr>
            <w:tcW w:type="dxa" w:w="2160"/>
            <w:shd w:fill="F9FAFC"/>
          </w:tcPr>
          <w:p>
            <w:pPr>
              <w:spacing w:before="80" w:after="80"/>
              <w:jc w:val="left"/>
            </w:pPr>
            <w:r>
              <w:rPr>
                <w:rFonts w:ascii="Calibri" w:hAnsi="Calibri"/>
                <w:b w:val="0"/>
                <w:i w:val="0"/>
                <w:color w:val="262626"/>
                <w:sz w:val="19"/>
              </w:rPr>
              <w:t>Date d'Échéance</w:t>
            </w:r>
          </w:p>
        </w:tc>
        <w:tc>
          <w:tcPr>
            <w:tcW w:type="dxa" w:w="1872"/>
            <w:shd w:fill="F9FAFC"/>
          </w:tcPr>
          <w:p>
            <w:pPr>
              <w:spacing w:before="80" w:after="80"/>
              <w:jc w:val="left"/>
            </w:pPr>
            <w:r>
              <w:rPr>
                <w:rFonts w:ascii="Calibri" w:hAnsi="Calibri"/>
                <w:b w:val="0"/>
                <w:i w:val="0"/>
                <w:color w:val="262626"/>
                <w:sz w:val="19"/>
              </w:rPr>
              <w:t>date</w:t>
            </w:r>
          </w:p>
        </w:tc>
        <w:tc>
          <w:tcPr>
            <w:tcW w:type="dxa" w:w="3024"/>
            <w:shd w:fill="F9FAFC"/>
          </w:tcPr>
          <w:p>
            <w:pPr>
              <w:spacing w:before="80" w:after="80"/>
              <w:jc w:val="left"/>
            </w:pPr>
            <w:r>
              <w:rPr>
                <w:rFonts w:ascii="Calibri" w:hAnsi="Calibri"/>
                <w:b w:val="0"/>
                <w:i w:val="0"/>
                <w:color w:val="262626"/>
                <w:sz w:val="19"/>
              </w:rPr>
              <w:t>Date limite pour le règlement d'un loyer mensuel</w:t>
            </w:r>
          </w:p>
        </w:tc>
      </w:tr>
      <w:tr>
        <w:tc>
          <w:tcPr>
            <w:tcW w:type="dxa" w:w="2304"/>
            <w:shd w:fill="FFFFFF"/>
          </w:tcPr>
          <w:p>
            <w:pPr>
              <w:spacing w:before="80" w:after="80"/>
              <w:jc w:val="left"/>
            </w:pPr>
            <w:r>
              <w:rPr>
                <w:rFonts w:ascii="Calibri" w:hAnsi="Calibri"/>
                <w:b/>
                <w:i w:val="0"/>
                <w:color w:val="262626"/>
                <w:sz w:val="19"/>
              </w:rPr>
              <w:t>installment_status</w:t>
            </w:r>
          </w:p>
        </w:tc>
        <w:tc>
          <w:tcPr>
            <w:tcW w:type="dxa" w:w="2160"/>
            <w:shd w:fill="FFFFFF"/>
          </w:tcPr>
          <w:p>
            <w:pPr>
              <w:spacing w:before="80" w:after="80"/>
              <w:jc w:val="left"/>
            </w:pPr>
            <w:r>
              <w:rPr>
                <w:rFonts w:ascii="Calibri" w:hAnsi="Calibri"/>
                <w:b w:val="0"/>
                <w:i w:val="0"/>
                <w:color w:val="262626"/>
                <w:sz w:val="19"/>
              </w:rPr>
              <w:t>Statut Échéance</w:t>
            </w:r>
          </w:p>
        </w:tc>
        <w:tc>
          <w:tcPr>
            <w:tcW w:type="dxa" w:w="1872"/>
            <w:shd w:fill="FFFFFF"/>
          </w:tcPr>
          <w:p>
            <w:pPr>
              <w:spacing w:before="80" w:after="80"/>
              <w:jc w:val="left"/>
            </w:pPr>
            <w:r>
              <w:rPr>
                <w:rFonts w:ascii="Calibri" w:hAnsi="Calibri"/>
                <w:b w:val="0"/>
                <w:i w:val="0"/>
                <w:color w:val="262626"/>
                <w:sz w:val="19"/>
              </w:rPr>
              <w:t>enum</w:t>
            </w:r>
          </w:p>
        </w:tc>
        <w:tc>
          <w:tcPr>
            <w:tcW w:type="dxa" w:w="3024"/>
            <w:shd w:fill="FFFFFF"/>
          </w:tcPr>
          <w:p>
            <w:pPr>
              <w:spacing w:before="80" w:after="80"/>
              <w:jc w:val="left"/>
            </w:pPr>
            <w:r>
              <w:rPr>
                <w:rFonts w:ascii="Calibri" w:hAnsi="Calibri"/>
                <w:b w:val="0"/>
                <w:i w:val="0"/>
                <w:color w:val="262626"/>
                <w:sz w:val="19"/>
              </w:rPr>
              <w:t>pending, partially_paid, paid, late, cancelled</w:t>
            </w:r>
          </w:p>
        </w:tc>
      </w:tr>
      <w:tr>
        <w:tc>
          <w:tcPr>
            <w:tcW w:type="dxa" w:w="2304"/>
            <w:shd w:fill="F9FAFC"/>
          </w:tcPr>
          <w:p>
            <w:pPr>
              <w:spacing w:before="80" w:after="80"/>
              <w:jc w:val="left"/>
            </w:pPr>
            <w:r>
              <w:rPr>
                <w:rFonts w:ascii="Calibri" w:hAnsi="Calibri"/>
                <w:b/>
                <w:i w:val="0"/>
                <w:color w:val="262626"/>
                <w:sz w:val="19"/>
              </w:rPr>
              <w:t>receipt_path</w:t>
            </w:r>
          </w:p>
        </w:tc>
        <w:tc>
          <w:tcPr>
            <w:tcW w:type="dxa" w:w="2160"/>
            <w:shd w:fill="F9FAFC"/>
          </w:tcPr>
          <w:p>
            <w:pPr>
              <w:spacing w:before="80" w:after="80"/>
              <w:jc w:val="left"/>
            </w:pPr>
            <w:r>
              <w:rPr>
                <w:rFonts w:ascii="Calibri" w:hAnsi="Calibri"/>
                <w:b w:val="0"/>
                <w:i w:val="0"/>
                <w:color w:val="262626"/>
                <w:sz w:val="19"/>
              </w:rPr>
              <w:t>Chemin Quittance</w:t>
            </w:r>
          </w:p>
        </w:tc>
        <w:tc>
          <w:tcPr>
            <w:tcW w:type="dxa" w:w="1872"/>
            <w:shd w:fill="F9FAFC"/>
          </w:tcPr>
          <w:p>
            <w:pPr>
              <w:spacing w:before="80" w:after="80"/>
              <w:jc w:val="left"/>
            </w:pPr>
            <w:r>
              <w:rPr>
                <w:rFonts w:ascii="Calibri" w:hAnsi="Calibri"/>
                <w:b w:val="0"/>
                <w:i w:val="0"/>
                <w:color w:val="262626"/>
                <w:sz w:val="19"/>
              </w:rPr>
              <w:t>string(255)</w:t>
            </w:r>
          </w:p>
        </w:tc>
        <w:tc>
          <w:tcPr>
            <w:tcW w:type="dxa" w:w="3024"/>
            <w:shd w:fill="F9FAFC"/>
          </w:tcPr>
          <w:p>
            <w:pPr>
              <w:spacing w:before="80" w:after="80"/>
              <w:jc w:val="left"/>
            </w:pPr>
            <w:r>
              <w:rPr>
                <w:rFonts w:ascii="Calibri" w:hAnsi="Calibri"/>
                <w:b w:val="0"/>
                <w:i w:val="0"/>
                <w:color w:val="262626"/>
                <w:sz w:val="19"/>
              </w:rPr>
              <w:t>Lien vers le document PDF de quittance généré</w:t>
            </w:r>
          </w:p>
        </w:tc>
      </w:tr>
      <w:tr>
        <w:tc>
          <w:tcPr>
            <w:tcW w:type="dxa" w:w="2304"/>
            <w:shd w:fill="FFFFFF"/>
          </w:tcPr>
          <w:p>
            <w:pPr>
              <w:spacing w:before="80" w:after="80"/>
              <w:jc w:val="left"/>
            </w:pPr>
            <w:r>
              <w:rPr>
                <w:rFonts w:ascii="Calibri" w:hAnsi="Calibri"/>
                <w:b/>
                <w:i w:val="0"/>
                <w:color w:val="262626"/>
                <w:sz w:val="19"/>
              </w:rPr>
              <w:t>ticket_category</w:t>
            </w:r>
          </w:p>
        </w:tc>
        <w:tc>
          <w:tcPr>
            <w:tcW w:type="dxa" w:w="2160"/>
            <w:shd w:fill="FFFFFF"/>
          </w:tcPr>
          <w:p>
            <w:pPr>
              <w:spacing w:before="80" w:after="80"/>
              <w:jc w:val="left"/>
            </w:pPr>
            <w:r>
              <w:rPr>
                <w:rFonts w:ascii="Calibri" w:hAnsi="Calibri"/>
                <w:b w:val="0"/>
                <w:i w:val="0"/>
                <w:color w:val="262626"/>
                <w:sz w:val="19"/>
              </w:rPr>
              <w:t>Catégorie Incident</w:t>
            </w:r>
          </w:p>
        </w:tc>
        <w:tc>
          <w:tcPr>
            <w:tcW w:type="dxa" w:w="1872"/>
            <w:shd w:fill="FFFFFF"/>
          </w:tcPr>
          <w:p>
            <w:pPr>
              <w:spacing w:before="80" w:after="80"/>
              <w:jc w:val="left"/>
            </w:pPr>
            <w:r>
              <w:rPr>
                <w:rFonts w:ascii="Calibri" w:hAnsi="Calibri"/>
                <w:b w:val="0"/>
                <w:i w:val="0"/>
                <w:color w:val="262626"/>
                <w:sz w:val="19"/>
              </w:rPr>
              <w:t>enum</w:t>
            </w:r>
          </w:p>
        </w:tc>
        <w:tc>
          <w:tcPr>
            <w:tcW w:type="dxa" w:w="3024"/>
            <w:shd w:fill="FFFFFF"/>
          </w:tcPr>
          <w:p>
            <w:pPr>
              <w:spacing w:before="80" w:after="80"/>
              <w:jc w:val="left"/>
            </w:pPr>
            <w:r>
              <w:rPr>
                <w:rFonts w:ascii="Calibri" w:hAnsi="Calibri"/>
                <w:b w:val="0"/>
                <w:i w:val="0"/>
                <w:color w:val="262626"/>
                <w:sz w:val="19"/>
              </w:rPr>
              <w:t>plomberie, electricite, structure, equipement, etc.</w:t>
            </w:r>
          </w:p>
        </w:tc>
      </w:tr>
    </w:tbl>
    <w:p>
      <w:pPr>
        <w:keepNext/>
        <w:spacing w:before="200" w:after="80"/>
      </w:pPr>
      <w:r>
        <w:rPr>
          <w:rFonts w:ascii="Calibri" w:hAnsi="Calibri"/>
          <w:b/>
          <w:i/>
          <w:color w:val="333333"/>
          <w:sz w:val="22"/>
        </w:rPr>
        <w:t>b. Modèle Conceptuel (MCD) et Logique (MLD) Étendus</w:t>
      </w:r>
    </w:p>
    <w:p>
      <w:pPr>
        <w:spacing w:after="120" w:line="276" w:lineRule="auto"/>
      </w:pPr>
      <w:r>
        <w:rPr>
          <w:rFonts w:ascii="Calibri" w:hAnsi="Calibri"/>
          <w:color w:val="262626"/>
          <w:sz w:val="22"/>
        </w:rPr>
        <w:t>L'extension locative introduit 10 nouvelles tables fondamentales :</w:t>
      </w:r>
    </w:p>
    <w:p>
      <w:pPr>
        <w:pStyle w:val="ListBullet"/>
        <w:spacing w:after="80" w:line="276" w:lineRule="auto"/>
      </w:pPr>
      <w:r>
        <w:rPr>
          <w:rFonts w:ascii="Calibri" w:hAnsi="Calibri"/>
          <w:b/>
          <w:color w:val="262626"/>
          <w:sz w:val="21"/>
        </w:rPr>
        <w:t xml:space="preserve">1. property_sale_details et property_rental_details : </w:t>
      </w:r>
      <w:r>
        <w:rPr>
          <w:rFonts w:ascii="Calibri" w:hAnsi="Calibri"/>
          <w:color w:val="262626"/>
          <w:sz w:val="21"/>
        </w:rPr>
        <w:t>Spécialisations 1:1 des biens immobiliers.</w:t>
      </w:r>
    </w:p>
    <w:p>
      <w:pPr>
        <w:pStyle w:val="ListBullet"/>
        <w:spacing w:after="80" w:line="276" w:lineRule="auto"/>
      </w:pPr>
      <w:r>
        <w:rPr>
          <w:rFonts w:ascii="Calibri" w:hAnsi="Calibri"/>
          <w:b/>
          <w:color w:val="262626"/>
          <w:sz w:val="21"/>
        </w:rPr>
        <w:t xml:space="preserve">2. rental_applications et rental_application_documents : </w:t>
      </w:r>
      <w:r>
        <w:rPr>
          <w:rFonts w:ascii="Calibri" w:hAnsi="Calibri"/>
          <w:color w:val="262626"/>
          <w:sz w:val="21"/>
        </w:rPr>
        <w:t>Gestion des candidats locataires et des documents justificatifs téléversés.</w:t>
      </w:r>
    </w:p>
    <w:p>
      <w:pPr>
        <w:pStyle w:val="ListBullet"/>
        <w:spacing w:after="80" w:line="276" w:lineRule="auto"/>
      </w:pPr>
      <w:r>
        <w:rPr>
          <w:rFonts w:ascii="Calibri" w:hAnsi="Calibri"/>
          <w:b/>
          <w:color w:val="262626"/>
          <w:sz w:val="21"/>
        </w:rPr>
        <w:t xml:space="preserve">3. contract_templates et contract_clauses : </w:t>
      </w:r>
      <w:r>
        <w:rPr>
          <w:rFonts w:ascii="Calibri" w:hAnsi="Calibri"/>
          <w:color w:val="262626"/>
          <w:sz w:val="21"/>
        </w:rPr>
        <w:t>Modèles de contrats paramétrables par agence et leurs clauses réutilisables.</w:t>
      </w:r>
    </w:p>
    <w:p>
      <w:pPr>
        <w:pStyle w:val="ListBullet"/>
        <w:spacing w:after="80" w:line="276" w:lineRule="auto"/>
      </w:pPr>
      <w:r>
        <w:rPr>
          <w:rFonts w:ascii="Calibri" w:hAnsi="Calibri"/>
          <w:b/>
          <w:color w:val="262626"/>
          <w:sz w:val="21"/>
        </w:rPr>
        <w:t xml:space="preserve">4. leases : </w:t>
      </w:r>
      <w:r>
        <w:rPr>
          <w:rFonts w:ascii="Calibri" w:hAnsi="Calibri"/>
          <w:color w:val="262626"/>
          <w:sz w:val="21"/>
        </w:rPr>
        <w:t>Contrats de bail enregistrés, leurs montants figés et leurs signatures.</w:t>
      </w:r>
    </w:p>
    <w:p>
      <w:pPr>
        <w:pStyle w:val="ListBullet"/>
        <w:spacing w:after="80" w:line="276" w:lineRule="auto"/>
      </w:pPr>
      <w:r>
        <w:rPr>
          <w:rFonts w:ascii="Calibri" w:hAnsi="Calibri"/>
          <w:b/>
          <w:color w:val="262626"/>
          <w:sz w:val="21"/>
        </w:rPr>
        <w:t xml:space="preserve">5. lease_installments et installment_payment : </w:t>
      </w:r>
      <w:r>
        <w:rPr>
          <w:rFonts w:ascii="Calibri" w:hAnsi="Calibri"/>
          <w:color w:val="262626"/>
          <w:sz w:val="21"/>
        </w:rPr>
        <w:t>Appels de loyers mensuels et génération des quittances PDF.</w:t>
      </w:r>
    </w:p>
    <w:p>
      <w:pPr>
        <w:pStyle w:val="ListBullet"/>
        <w:spacing w:after="80" w:line="276" w:lineRule="auto"/>
      </w:pPr>
      <w:r>
        <w:rPr>
          <w:rFonts w:ascii="Calibri" w:hAnsi="Calibri"/>
          <w:b/>
          <w:color w:val="262626"/>
          <w:sz w:val="21"/>
        </w:rPr>
        <w:t xml:space="preserve">6. maintenance_tickets, maintenance_ticket_images, maintenance_ticket_messages : </w:t>
      </w:r>
      <w:r>
        <w:rPr>
          <w:rFonts w:ascii="Calibri" w:hAnsi="Calibri"/>
          <w:color w:val="262626"/>
          <w:sz w:val="21"/>
        </w:rPr>
        <w:t>Suivi des incidents techniques du logement, photos et fil de discussion.</w:t>
      </w:r>
    </w:p>
    <w:p>
      <w:pPr>
        <w:pStyle w:val="ListBullet"/>
        <w:spacing w:after="80" w:line="276" w:lineRule="auto"/>
      </w:pPr>
      <w:r>
        <w:rPr>
          <w:rFonts w:ascii="Calibri" w:hAnsi="Calibri"/>
          <w:b/>
          <w:color w:val="262626"/>
          <w:sz w:val="21"/>
        </w:rPr>
        <w:t xml:space="preserve">7. proprietaires : </w:t>
      </w:r>
      <w:r>
        <w:rPr>
          <w:rFonts w:ascii="Calibri" w:hAnsi="Calibri"/>
          <w:color w:val="262626"/>
          <w:sz w:val="21"/>
        </w:rPr>
        <w:t>Fiche des propriétaires bailleurs pour le compte desquels l'agence gère les biens.</w:t>
      </w:r>
    </w:p>
    <w:p>
      <w:pPr>
        <w:keepNext/>
        <w:spacing w:before="280" w:after="120"/>
      </w:pPr>
      <w:r>
        <w:rPr>
          <w:rFonts w:ascii="Calibri" w:hAnsi="Calibri"/>
          <w:b/>
          <w:color w:val="2E75B6"/>
          <w:sz w:val="26"/>
        </w:rPr>
        <w:t>IV- Plan d'Implémentation et Découpage en Lots (Lots 10 à 16)</w:t>
      </w:r>
    </w:p>
    <w:p>
      <w:pPr>
        <w:spacing w:after="120" w:line="276" w:lineRule="auto"/>
      </w:pPr>
      <w:r>
        <w:rPr>
          <w:rFonts w:ascii="Calibri" w:hAnsi="Calibri"/>
          <w:color w:val="262626"/>
          <w:sz w:val="22"/>
        </w:rPr>
        <w:t>Le déploiement de la gestion locative est découpé en 7 lots opérationnels méthodiques :</w:t>
      </w:r>
    </w:p>
    <w:tbl>
      <w:tblPr>
        <w:tblW w:type="auto" w:w="0"/>
        <w:tblLook w:firstColumn="1" w:firstRow="1" w:lastColumn="0" w:lastRow="0" w:noHBand="0" w:noVBand="1" w:val="04A0"/>
        <w:tblBorders>
          <w:top w:val="single" w:sz="6" w:space="0" w:color="CCCCCC"/>
          <w:bottom w:val="single" w:sz="6" w:space="0" w:color="CCCCCC"/>
          <w:insideH w:val="single" w:sz="4" w:space="0" w:color="CCCCCC"/>
          <w:insideV w:val="none"/>
          <w:left w:val="none"/>
          <w:right w:val="none"/>
        </w:tblBorders>
      </w:tblPr>
      <w:tblGrid>
        <w:gridCol w:w="2340"/>
        <w:gridCol w:w="2340"/>
        <w:gridCol w:w="2340"/>
        <w:gridCol w:w="2340"/>
      </w:tblGrid>
      <w:tr>
        <w:tc>
          <w:tcPr>
            <w:tcW w:type="dxa" w:w="2340"/>
            <w:shd w:fill="1F4E78"/>
          </w:tcPr>
          <w:p>
            <w:pPr>
              <w:spacing w:before="120" w:after="120"/>
              <w:jc w:val="left"/>
            </w:pPr>
            <w:r>
              <w:rPr>
                <w:rFonts w:ascii="Calibri" w:hAnsi="Calibri"/>
                <w:b/>
                <w:color w:val="FFFFFF"/>
                <w:sz w:val="20"/>
              </w:rPr>
              <w:t>Lot</w:t>
            </w:r>
          </w:p>
        </w:tc>
        <w:tc>
          <w:tcPr>
            <w:tcW w:type="dxa" w:w="2340"/>
            <w:shd w:fill="1F4E78"/>
          </w:tcPr>
          <w:p>
            <w:pPr>
              <w:spacing w:before="120" w:after="120"/>
              <w:jc w:val="left"/>
            </w:pPr>
            <w:r>
              <w:rPr>
                <w:rFonts w:ascii="Calibri" w:hAnsi="Calibri"/>
                <w:b/>
                <w:color w:val="FFFFFF"/>
                <w:sz w:val="20"/>
              </w:rPr>
              <w:t>Intitulé du Lot</w:t>
            </w:r>
          </w:p>
        </w:tc>
        <w:tc>
          <w:tcPr>
            <w:tcW w:type="dxa" w:w="2340"/>
            <w:shd w:fill="1F4E78"/>
          </w:tcPr>
          <w:p>
            <w:pPr>
              <w:spacing w:before="120" w:after="120"/>
              <w:jc w:val="left"/>
            </w:pPr>
            <w:r>
              <w:rPr>
                <w:rFonts w:ascii="Calibri" w:hAnsi="Calibri"/>
                <w:b/>
                <w:color w:val="FFFFFF"/>
                <w:sz w:val="20"/>
              </w:rPr>
              <w:t>Composants &amp; Endpoints majeurs</w:t>
            </w:r>
          </w:p>
        </w:tc>
        <w:tc>
          <w:tcPr>
            <w:tcW w:type="dxa" w:w="2340"/>
            <w:shd w:fill="1F4E78"/>
          </w:tcPr>
          <w:p>
            <w:pPr>
              <w:spacing w:before="120" w:after="120"/>
              <w:jc w:val="left"/>
            </w:pPr>
            <w:r>
              <w:rPr>
                <w:rFonts w:ascii="Calibri" w:hAnsi="Calibri"/>
                <w:b/>
                <w:color w:val="FFFFFF"/>
                <w:sz w:val="20"/>
              </w:rPr>
              <w:t>Livrables clés</w:t>
            </w:r>
          </w:p>
        </w:tc>
      </w:tr>
      <w:tr>
        <w:tc>
          <w:tcPr>
            <w:tcW w:type="dxa" w:w="1152"/>
            <w:shd w:fill="F9FAFC"/>
          </w:tcPr>
          <w:p>
            <w:pPr>
              <w:spacing w:before="80" w:after="80"/>
              <w:jc w:val="left"/>
            </w:pPr>
            <w:r>
              <w:rPr>
                <w:rFonts w:ascii="Calibri" w:hAnsi="Calibri"/>
                <w:b/>
                <w:i w:val="0"/>
                <w:color w:val="262626"/>
                <w:sz w:val="19"/>
              </w:rPr>
              <w:t>Lot 10</w:t>
            </w:r>
          </w:p>
        </w:tc>
        <w:tc>
          <w:tcPr>
            <w:tcW w:type="dxa" w:w="2592"/>
            <w:shd w:fill="F9FAFC"/>
          </w:tcPr>
          <w:p>
            <w:pPr>
              <w:spacing w:before="80" w:after="80"/>
              <w:jc w:val="left"/>
            </w:pPr>
            <w:r>
              <w:rPr>
                <w:rFonts w:ascii="Calibri" w:hAnsi="Calibri"/>
                <w:b/>
                <w:i w:val="0"/>
                <w:color w:val="262626"/>
                <w:sz w:val="19"/>
              </w:rPr>
              <w:t>Socle de données locatives &amp; Spécialisation</w:t>
            </w:r>
          </w:p>
        </w:tc>
        <w:tc>
          <w:tcPr>
            <w:tcW w:type="dxa" w:w="3312"/>
            <w:shd w:fill="F9FAFC"/>
          </w:tcPr>
          <w:p>
            <w:pPr>
              <w:spacing w:before="80" w:after="80"/>
              <w:jc w:val="left"/>
            </w:pPr>
            <w:r>
              <w:rPr>
                <w:rFonts w:ascii="Calibri" w:hAnsi="Calibri"/>
                <w:b w:val="0"/>
                <w:i w:val="0"/>
                <w:color w:val="262626"/>
                <w:sz w:val="19"/>
              </w:rPr>
              <w:t>Migrations properties, property_rental_details, property_sale_details</w:t>
            </w:r>
          </w:p>
        </w:tc>
        <w:tc>
          <w:tcPr>
            <w:tcW w:type="dxa" w:w="2304"/>
            <w:shd w:fill="F9FAFC"/>
          </w:tcPr>
          <w:p>
            <w:pPr>
              <w:spacing w:before="80" w:after="80"/>
              <w:jc w:val="left"/>
            </w:pPr>
            <w:r>
              <w:rPr>
                <w:rFonts w:ascii="Calibri" w:hAnsi="Calibri"/>
                <w:b w:val="0"/>
                <w:i w:val="0"/>
                <w:color w:val="262626"/>
                <w:sz w:val="19"/>
              </w:rPr>
              <w:t>Spécialisation 1:1 opérationnelle et données existantes migrées</w:t>
            </w:r>
          </w:p>
        </w:tc>
      </w:tr>
      <w:tr>
        <w:tc>
          <w:tcPr>
            <w:tcW w:type="dxa" w:w="1152"/>
            <w:shd w:fill="FFFFFF"/>
          </w:tcPr>
          <w:p>
            <w:pPr>
              <w:spacing w:before="80" w:after="80"/>
              <w:jc w:val="left"/>
            </w:pPr>
            <w:r>
              <w:rPr>
                <w:rFonts w:ascii="Calibri" w:hAnsi="Calibri"/>
                <w:b/>
                <w:i w:val="0"/>
                <w:color w:val="262626"/>
                <w:sz w:val="19"/>
              </w:rPr>
              <w:t>Lot 11</w:t>
            </w:r>
          </w:p>
        </w:tc>
        <w:tc>
          <w:tcPr>
            <w:tcW w:type="dxa" w:w="2592"/>
            <w:shd w:fill="FFFFFF"/>
          </w:tcPr>
          <w:p>
            <w:pPr>
              <w:spacing w:before="80" w:after="80"/>
              <w:jc w:val="left"/>
            </w:pPr>
            <w:r>
              <w:rPr>
                <w:rFonts w:ascii="Calibri" w:hAnsi="Calibri"/>
                <w:b/>
                <w:i w:val="0"/>
                <w:color w:val="262626"/>
                <w:sz w:val="19"/>
              </w:rPr>
              <w:t>Candidatures &amp; Dossier de location</w:t>
            </w:r>
          </w:p>
        </w:tc>
        <w:tc>
          <w:tcPr>
            <w:tcW w:type="dxa" w:w="3312"/>
            <w:shd w:fill="FFFFFF"/>
          </w:tcPr>
          <w:p>
            <w:pPr>
              <w:spacing w:before="80" w:after="80"/>
              <w:jc w:val="left"/>
            </w:pPr>
            <w:r>
              <w:rPr>
                <w:rFonts w:ascii="Calibri" w:hAnsi="Calibri"/>
                <w:b w:val="0"/>
                <w:i w:val="0"/>
                <w:color w:val="262626"/>
                <w:sz w:val="19"/>
              </w:rPr>
              <w:t>Endpoints POST /rental-applications, upload documents</w:t>
            </w:r>
          </w:p>
        </w:tc>
        <w:tc>
          <w:tcPr>
            <w:tcW w:type="dxa" w:w="2304"/>
            <w:shd w:fill="FFFFFF"/>
          </w:tcPr>
          <w:p>
            <w:pPr>
              <w:spacing w:before="80" w:after="80"/>
              <w:jc w:val="left"/>
            </w:pPr>
            <w:r>
              <w:rPr>
                <w:rFonts w:ascii="Calibri" w:hAnsi="Calibri"/>
                <w:b w:val="0"/>
                <w:i w:val="0"/>
                <w:color w:val="262626"/>
                <w:sz w:val="19"/>
              </w:rPr>
              <w:t>Système complet de dépôt et d'instruction des candidatures locataires</w:t>
            </w:r>
          </w:p>
        </w:tc>
      </w:tr>
      <w:tr>
        <w:tc>
          <w:tcPr>
            <w:tcW w:type="dxa" w:w="1152"/>
            <w:shd w:fill="F9FAFC"/>
          </w:tcPr>
          <w:p>
            <w:pPr>
              <w:spacing w:before="80" w:after="80"/>
              <w:jc w:val="left"/>
            </w:pPr>
            <w:r>
              <w:rPr>
                <w:rFonts w:ascii="Calibri" w:hAnsi="Calibri"/>
                <w:b/>
                <w:i w:val="0"/>
                <w:color w:val="262626"/>
                <w:sz w:val="19"/>
              </w:rPr>
              <w:t>Lot 12</w:t>
            </w:r>
          </w:p>
        </w:tc>
        <w:tc>
          <w:tcPr>
            <w:tcW w:type="dxa" w:w="2592"/>
            <w:shd w:fill="F9FAFC"/>
          </w:tcPr>
          <w:p>
            <w:pPr>
              <w:spacing w:before="80" w:after="80"/>
              <w:jc w:val="left"/>
            </w:pPr>
            <w:r>
              <w:rPr>
                <w:rFonts w:ascii="Calibri" w:hAnsi="Calibri"/>
                <w:b/>
                <w:i w:val="0"/>
                <w:color w:val="262626"/>
                <w:sz w:val="19"/>
              </w:rPr>
              <w:t>Baux, Contrats &amp; Signature</w:t>
            </w:r>
          </w:p>
        </w:tc>
        <w:tc>
          <w:tcPr>
            <w:tcW w:type="dxa" w:w="3312"/>
            <w:shd w:fill="F9FAFC"/>
          </w:tcPr>
          <w:p>
            <w:pPr>
              <w:spacing w:before="80" w:after="80"/>
              <w:jc w:val="left"/>
            </w:pPr>
            <w:r>
              <w:rPr>
                <w:rFonts w:ascii="Calibri" w:hAnsi="Calibri"/>
                <w:b w:val="0"/>
                <w:i w:val="0"/>
                <w:color w:val="262626"/>
                <w:sz w:val="19"/>
              </w:rPr>
              <w:t>Modèles de contrat, génération PDF, signature électronique</w:t>
            </w:r>
          </w:p>
        </w:tc>
        <w:tc>
          <w:tcPr>
            <w:tcW w:type="dxa" w:w="2304"/>
            <w:shd w:fill="F9FAFC"/>
          </w:tcPr>
          <w:p>
            <w:pPr>
              <w:spacing w:before="80" w:after="80"/>
              <w:jc w:val="left"/>
            </w:pPr>
            <w:r>
              <w:rPr>
                <w:rFonts w:ascii="Calibri" w:hAnsi="Calibri"/>
                <w:b w:val="0"/>
                <w:i w:val="0"/>
                <w:color w:val="262626"/>
                <w:sz w:val="19"/>
              </w:rPr>
              <w:t>Génération automatique des baux de location et signature en ligne</w:t>
            </w:r>
          </w:p>
        </w:tc>
      </w:tr>
      <w:tr>
        <w:tc>
          <w:tcPr>
            <w:tcW w:type="dxa" w:w="1152"/>
            <w:shd w:fill="FFFFFF"/>
          </w:tcPr>
          <w:p>
            <w:pPr>
              <w:spacing w:before="80" w:after="80"/>
              <w:jc w:val="left"/>
            </w:pPr>
            <w:r>
              <w:rPr>
                <w:rFonts w:ascii="Calibri" w:hAnsi="Calibri"/>
                <w:b/>
                <w:i w:val="0"/>
                <w:color w:val="262626"/>
                <w:sz w:val="19"/>
              </w:rPr>
              <w:t>Lot 13</w:t>
            </w:r>
          </w:p>
        </w:tc>
        <w:tc>
          <w:tcPr>
            <w:tcW w:type="dxa" w:w="2592"/>
            <w:shd w:fill="FFFFFF"/>
          </w:tcPr>
          <w:p>
            <w:pPr>
              <w:spacing w:before="80" w:after="80"/>
              <w:jc w:val="left"/>
            </w:pPr>
            <w:r>
              <w:rPr>
                <w:rFonts w:ascii="Calibri" w:hAnsi="Calibri"/>
                <w:b/>
                <w:i w:val="0"/>
                <w:color w:val="262626"/>
                <w:sz w:val="19"/>
              </w:rPr>
              <w:t>Système de Notifications Tri-Canal</w:t>
            </w:r>
          </w:p>
        </w:tc>
        <w:tc>
          <w:tcPr>
            <w:tcW w:type="dxa" w:w="3312"/>
            <w:shd w:fill="FFFFFF"/>
          </w:tcPr>
          <w:p>
            <w:pPr>
              <w:spacing w:before="80" w:after="80"/>
              <w:jc w:val="left"/>
            </w:pPr>
            <w:r>
              <w:rPr>
                <w:rFonts w:ascii="Calibri" w:hAnsi="Calibri"/>
                <w:b w:val="0"/>
                <w:i w:val="0"/>
                <w:color w:val="262626"/>
                <w:sz w:val="19"/>
              </w:rPr>
              <w:t>Classes Notification Laravel (Database, Reverb, Mail)</w:t>
            </w:r>
          </w:p>
        </w:tc>
        <w:tc>
          <w:tcPr>
            <w:tcW w:type="dxa" w:w="2304"/>
            <w:shd w:fill="FFFFFF"/>
          </w:tcPr>
          <w:p>
            <w:pPr>
              <w:spacing w:before="80" w:after="80"/>
              <w:jc w:val="left"/>
            </w:pPr>
            <w:r>
              <w:rPr>
                <w:rFonts w:ascii="Calibri" w:hAnsi="Calibri"/>
                <w:b w:val="0"/>
                <w:i w:val="0"/>
                <w:color w:val="262626"/>
                <w:sz w:val="19"/>
              </w:rPr>
              <w:t>Alertes instantanées et e-mails d'action configurés</w:t>
            </w:r>
          </w:p>
        </w:tc>
      </w:tr>
      <w:tr>
        <w:tc>
          <w:tcPr>
            <w:tcW w:type="dxa" w:w="1152"/>
            <w:shd w:fill="F9FAFC"/>
          </w:tcPr>
          <w:p>
            <w:pPr>
              <w:spacing w:before="80" w:after="80"/>
              <w:jc w:val="left"/>
            </w:pPr>
            <w:r>
              <w:rPr>
                <w:rFonts w:ascii="Calibri" w:hAnsi="Calibri"/>
                <w:b/>
                <w:i w:val="0"/>
                <w:color w:val="262626"/>
                <w:sz w:val="19"/>
              </w:rPr>
              <w:t>Lot 14</w:t>
            </w:r>
          </w:p>
        </w:tc>
        <w:tc>
          <w:tcPr>
            <w:tcW w:type="dxa" w:w="2592"/>
            <w:shd w:fill="F9FAFC"/>
          </w:tcPr>
          <w:p>
            <w:pPr>
              <w:spacing w:before="80" w:after="80"/>
              <w:jc w:val="left"/>
            </w:pPr>
            <w:r>
              <w:rPr>
                <w:rFonts w:ascii="Calibri" w:hAnsi="Calibri"/>
                <w:b/>
                <w:i w:val="0"/>
                <w:color w:val="262626"/>
                <w:sz w:val="19"/>
              </w:rPr>
              <w:t>Encaissement des Loyers &amp; Quittances</w:t>
            </w:r>
          </w:p>
        </w:tc>
        <w:tc>
          <w:tcPr>
            <w:tcW w:type="dxa" w:w="3312"/>
            <w:shd w:fill="F9FAFC"/>
          </w:tcPr>
          <w:p>
            <w:pPr>
              <w:spacing w:before="80" w:after="80"/>
              <w:jc w:val="left"/>
            </w:pPr>
            <w:r>
              <w:rPr>
                <w:rFonts w:ascii="Calibri" w:hAnsi="Calibri"/>
                <w:b w:val="0"/>
                <w:i w:val="0"/>
                <w:color w:val="262626"/>
                <w:sz w:val="19"/>
              </w:rPr>
              <w:t>Tâche planifiée d'échéances, webhook PayDunya, quittance PDF</w:t>
            </w:r>
          </w:p>
        </w:tc>
        <w:tc>
          <w:tcPr>
            <w:tcW w:type="dxa" w:w="2304"/>
            <w:shd w:fill="F9FAFC"/>
          </w:tcPr>
          <w:p>
            <w:pPr>
              <w:spacing w:before="80" w:after="80"/>
              <w:jc w:val="left"/>
            </w:pPr>
            <w:r>
              <w:rPr>
                <w:rFonts w:ascii="Calibri" w:hAnsi="Calibri"/>
                <w:b w:val="0"/>
                <w:i w:val="0"/>
                <w:color w:val="262626"/>
                <w:sz w:val="19"/>
              </w:rPr>
              <w:t>Automates de facturation mensuelle et génération des quittances</w:t>
            </w:r>
          </w:p>
        </w:tc>
      </w:tr>
      <w:tr>
        <w:tc>
          <w:tcPr>
            <w:tcW w:type="dxa" w:w="1152"/>
            <w:shd w:fill="FFFFFF"/>
          </w:tcPr>
          <w:p>
            <w:pPr>
              <w:spacing w:before="80" w:after="80"/>
              <w:jc w:val="left"/>
            </w:pPr>
            <w:r>
              <w:rPr>
                <w:rFonts w:ascii="Calibri" w:hAnsi="Calibri"/>
                <w:b/>
                <w:i w:val="0"/>
                <w:color w:val="262626"/>
                <w:sz w:val="19"/>
              </w:rPr>
              <w:t>Lot 15</w:t>
            </w:r>
          </w:p>
        </w:tc>
        <w:tc>
          <w:tcPr>
            <w:tcW w:type="dxa" w:w="2592"/>
            <w:shd w:fill="FFFFFF"/>
          </w:tcPr>
          <w:p>
            <w:pPr>
              <w:spacing w:before="80" w:after="80"/>
              <w:jc w:val="left"/>
            </w:pPr>
            <w:r>
              <w:rPr>
                <w:rFonts w:ascii="Calibri" w:hAnsi="Calibri"/>
                <w:b/>
                <w:i w:val="0"/>
                <w:color w:val="262626"/>
                <w:sz w:val="19"/>
              </w:rPr>
              <w:t>Incidents &amp; Maintenance</w:t>
            </w:r>
          </w:p>
        </w:tc>
        <w:tc>
          <w:tcPr>
            <w:tcW w:type="dxa" w:w="3312"/>
            <w:shd w:fill="FFFFFF"/>
          </w:tcPr>
          <w:p>
            <w:pPr>
              <w:spacing w:before="80" w:after="80"/>
              <w:jc w:val="left"/>
            </w:pPr>
            <w:r>
              <w:rPr>
                <w:rFonts w:ascii="Calibri" w:hAnsi="Calibri"/>
                <w:b w:val="0"/>
                <w:i w:val="0"/>
                <w:color w:val="262626"/>
                <w:sz w:val="19"/>
              </w:rPr>
              <w:t>Endpoints /maintenance-tickets, messagerie d'incident</w:t>
            </w:r>
          </w:p>
        </w:tc>
        <w:tc>
          <w:tcPr>
            <w:tcW w:type="dxa" w:w="2304"/>
            <w:shd w:fill="FFFFFF"/>
          </w:tcPr>
          <w:p>
            <w:pPr>
              <w:spacing w:before="80" w:after="80"/>
              <w:jc w:val="left"/>
            </w:pPr>
            <w:r>
              <w:rPr>
                <w:rFonts w:ascii="Calibri" w:hAnsi="Calibri"/>
                <w:b w:val="0"/>
                <w:i w:val="0"/>
                <w:color w:val="262626"/>
                <w:sz w:val="19"/>
              </w:rPr>
              <w:t>Gestion intégrée des réparations et réclamations locatives</w:t>
            </w:r>
          </w:p>
        </w:tc>
      </w:tr>
      <w:tr>
        <w:tc>
          <w:tcPr>
            <w:tcW w:type="dxa" w:w="1152"/>
            <w:shd w:fill="F9FAFC"/>
          </w:tcPr>
          <w:p>
            <w:pPr>
              <w:spacing w:before="80" w:after="80"/>
              <w:jc w:val="left"/>
            </w:pPr>
            <w:r>
              <w:rPr>
                <w:rFonts w:ascii="Calibri" w:hAnsi="Calibri"/>
                <w:b/>
                <w:i w:val="0"/>
                <w:color w:val="262626"/>
                <w:sz w:val="19"/>
              </w:rPr>
              <w:t>Lot 16</w:t>
            </w:r>
          </w:p>
        </w:tc>
        <w:tc>
          <w:tcPr>
            <w:tcW w:type="dxa" w:w="2592"/>
            <w:shd w:fill="F9FAFC"/>
          </w:tcPr>
          <w:p>
            <w:pPr>
              <w:spacing w:before="80" w:after="80"/>
              <w:jc w:val="left"/>
            </w:pPr>
            <w:r>
              <w:rPr>
                <w:rFonts w:ascii="Calibri" w:hAnsi="Calibri"/>
                <w:b/>
                <w:i w:val="0"/>
                <w:color w:val="262626"/>
                <w:sz w:val="19"/>
              </w:rPr>
              <w:t>Espace Propriétaire Bailleur</w:t>
            </w:r>
          </w:p>
        </w:tc>
        <w:tc>
          <w:tcPr>
            <w:tcW w:type="dxa" w:w="3312"/>
            <w:shd w:fill="F9FAFC"/>
          </w:tcPr>
          <w:p>
            <w:pPr>
              <w:spacing w:before="80" w:after="80"/>
              <w:jc w:val="left"/>
            </w:pPr>
            <w:r>
              <w:rPr>
                <w:rFonts w:ascii="Calibri" w:hAnsi="Calibri"/>
                <w:b w:val="0"/>
                <w:i w:val="0"/>
                <w:color w:val="262626"/>
                <w:sz w:val="19"/>
              </w:rPr>
              <w:t>Table proprietaires, rattachement des baux</w:t>
            </w:r>
          </w:p>
        </w:tc>
        <w:tc>
          <w:tcPr>
            <w:tcW w:type="dxa" w:w="2304"/>
            <w:shd w:fill="F9FAFC"/>
          </w:tcPr>
          <w:p>
            <w:pPr>
              <w:spacing w:before="80" w:after="80"/>
              <w:jc w:val="left"/>
            </w:pPr>
            <w:r>
              <w:rPr>
                <w:rFonts w:ascii="Calibri" w:hAnsi="Calibri"/>
                <w:b w:val="0"/>
                <w:i w:val="0"/>
                <w:color w:val="262626"/>
                <w:sz w:val="19"/>
              </w:rPr>
              <w:t>Gestion des mandats et rapports de gestion pour les bailleurs</w:t>
            </w:r>
          </w:p>
        </w:tc>
      </w:tr>
    </w:tbl>
    <w:p>
      <w:r>
        <w:br w:type="page"/>
      </w:r>
    </w:p>
    <w:p>
      <w:pPr>
        <w:keepNext/>
        <w:spacing w:before="360" w:after="160"/>
      </w:pPr>
      <w:r>
        <w:rPr>
          <w:rFonts w:ascii="Calibri" w:hAnsi="Calibri"/>
          <w:b/>
          <w:color w:val="1B365D"/>
          <w:sz w:val="32"/>
        </w:rPr>
        <w:t>Conclusion Générale et Perspectives</w:t>
      </w:r>
    </w:p>
    <w:p>
      <w:pPr>
        <w:spacing w:after="120" w:line="276" w:lineRule="auto"/>
      </w:pPr>
      <w:r>
        <w:rPr>
          <w:rFonts w:ascii="Calibri" w:hAnsi="Calibri"/>
          <w:color w:val="262626"/>
          <w:sz w:val="22"/>
        </w:rPr>
        <w:t>La conception et le développement de la plateforme Immo Prestige apportent une réponse technologique complète, élégante et rigoureuse aux défis de la modernisation du secteur immobilier au Sénégal.</w:t>
      </w:r>
    </w:p>
    <w:p>
      <w:pPr>
        <w:spacing w:after="120" w:line="276" w:lineRule="auto"/>
      </w:pPr>
      <w:r>
        <w:rPr>
          <w:rFonts w:ascii="Calibri" w:hAnsi="Calibri"/>
          <w:color w:val="262626"/>
          <w:sz w:val="22"/>
        </w:rPr>
        <w:t>En associant la puissance du framework Laravel 12 pour l'API Backend, la réactivité de React 19 et Vite 7 pour le Web, et la souplesse d'Expo React Native pour le Mobile, Immo Prestige garantit une haute performance applicative. L'analyse structurée selon la méthode MERISE a permis de modéliser avec précision le socle existant d'annonces et d'abonnements, tout en préparant sereinement l'extension vers la gestion locative automatisée.</w:t>
      </w:r>
    </w:p>
    <w:p>
      <w:pPr>
        <w:spacing w:after="120" w:line="276" w:lineRule="auto"/>
      </w:pPr>
      <w:r>
        <w:rPr>
          <w:rFonts w:ascii="Calibri" w:hAnsi="Calibri"/>
          <w:color w:val="262626"/>
          <w:sz w:val="22"/>
        </w:rPr>
        <w:t>Le module de gestion locative (Lots 10 à 16) représente une évolution stratégique décisive : en automatisant l'instruction des baux, l'encaissement récurrent des loyers via PayDunya, l'émission des quittances PDF et le traitement des tickets d'incidents, Immo Prestige positionne la plateforme comme l'outil incontournable de la transformation digitale immobilière.</w:t>
      </w:r>
    </w:p>
    <w:p>
      <w:pPr>
        <w:keepNext/>
        <w:spacing w:before="360" w:after="160"/>
      </w:pPr>
      <w:r>
        <w:rPr>
          <w:rFonts w:ascii="Calibri" w:hAnsi="Calibri"/>
          <w:b/>
          <w:color w:val="1B365D"/>
          <w:sz w:val="32"/>
        </w:rPr>
        <w:t>Bibliographie et Références Web</w:t>
      </w:r>
    </w:p>
    <w:p>
      <w:pPr>
        <w:pStyle w:val="ListBullet"/>
        <w:spacing w:after="80" w:line="276" w:lineRule="auto"/>
      </w:pPr>
      <w:r>
        <w:rPr>
          <w:rFonts w:ascii="Calibri" w:hAnsi="Calibri"/>
          <w:b/>
          <w:color w:val="262626"/>
          <w:sz w:val="21"/>
        </w:rPr>
        <w:t xml:space="preserve">1. Hubert Tardieu, Arnold Rochfeld, René Colletti, </w:t>
      </w:r>
      <w:r>
        <w:rPr>
          <w:rFonts w:ascii="Calibri" w:hAnsi="Calibri"/>
          <w:color w:val="262626"/>
          <w:sz w:val="21"/>
        </w:rPr>
        <w:t>Méthode d'analyse et de conception des systèmes d'information — Éditions Eyrolles.</w:t>
      </w:r>
    </w:p>
    <w:p>
      <w:pPr>
        <w:pStyle w:val="ListBullet"/>
        <w:spacing w:after="80" w:line="276" w:lineRule="auto"/>
      </w:pPr>
      <w:r>
        <w:rPr>
          <w:rFonts w:ascii="Calibri" w:hAnsi="Calibri"/>
          <w:b/>
          <w:color w:val="262626"/>
          <w:sz w:val="21"/>
        </w:rPr>
        <w:t xml:space="preserve">2. Documentation Laravel 12 : </w:t>
      </w:r>
      <w:r>
        <w:rPr>
          <w:rFonts w:ascii="Calibri" w:hAnsi="Calibri"/>
          <w:color w:val="262626"/>
          <w:sz w:val="21"/>
        </w:rPr>
        <w:t>Documentation officielle du Framework PHP Laravel 12 (https://laravel.com/docs).</w:t>
      </w:r>
    </w:p>
    <w:p>
      <w:pPr>
        <w:pStyle w:val="ListBullet"/>
        <w:spacing w:after="80" w:line="276" w:lineRule="auto"/>
      </w:pPr>
      <w:r>
        <w:rPr>
          <w:rFonts w:ascii="Calibri" w:hAnsi="Calibri"/>
          <w:b/>
          <w:color w:val="262626"/>
          <w:sz w:val="21"/>
        </w:rPr>
        <w:t xml:space="preserve">3. Documentation React &amp; Vite : </w:t>
      </w:r>
      <w:r>
        <w:rPr>
          <w:rFonts w:ascii="Calibri" w:hAnsi="Calibri"/>
          <w:color w:val="262626"/>
          <w:sz w:val="21"/>
        </w:rPr>
        <w:t>Documentation officielle du framework frontend React 19 et de Vite (https://react.dev).</w:t>
      </w:r>
    </w:p>
    <w:p>
      <w:pPr>
        <w:pStyle w:val="ListBullet"/>
        <w:spacing w:after="80" w:line="276" w:lineRule="auto"/>
      </w:pPr>
      <w:r>
        <w:rPr>
          <w:rFonts w:ascii="Calibri" w:hAnsi="Calibri"/>
          <w:b/>
          <w:color w:val="262626"/>
          <w:sz w:val="21"/>
        </w:rPr>
        <w:t xml:space="preserve">4. Documentation API PayDunya : </w:t>
      </w:r>
      <w:r>
        <w:rPr>
          <w:rFonts w:ascii="Calibri" w:hAnsi="Calibri"/>
          <w:color w:val="262626"/>
          <w:sz w:val="21"/>
        </w:rPr>
        <w:t>Documentation de l'API d'intégration de la passerelle de paiement PayDunya (https://paydunya.com/docs).</w:t>
      </w:r>
    </w:p>
    <w:p>
      <w:pPr>
        <w:pStyle w:val="ListBullet"/>
        <w:spacing w:after="80" w:line="276" w:lineRule="auto"/>
      </w:pPr>
      <w:r>
        <w:rPr>
          <w:rFonts w:ascii="Calibri" w:hAnsi="Calibri"/>
          <w:b/>
          <w:color w:val="262626"/>
          <w:sz w:val="21"/>
        </w:rPr>
        <w:t xml:space="preserve">5. Cours d'Analyse et Conception de Systèmes d'Information : </w:t>
      </w:r>
      <w:r>
        <w:rPr>
          <w:rFonts w:ascii="Calibri" w:hAnsi="Calibri"/>
          <w:color w:val="262626"/>
          <w:sz w:val="21"/>
        </w:rPr>
        <w:t>Supports de cours et travaux dirigés de Génie Logiciel et Analyse MERISE — Institut Supérieur d'Informatique (ISI).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