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60" w:line="260" w:lineRule="auto"/>
      </w:pPr>
      <w:r>
        <w:rPr>
          <w:rFonts w:ascii="Calibri" w:hAnsi="Calibri"/>
          <w:b/>
          <w:color w:val="1E3A8A"/>
          <w:sz w:val="24"/>
        </w:rPr>
        <w:t xml:space="preserve">STÄDTISCHE WOHNUNGSBAUGESELLSCHAFT KONSTANZ MBH · WOBAK</w:t>
      </w:r>
    </w:p>
    <w:p>
      <w:pPr>
        <w:jc w:val="center"/>
        <w:spacing w:before="0" w:after="240" w:line="260" w:lineRule="auto"/>
      </w:pPr>
      <w:r>
        <w:rPr>
          <w:rFonts w:ascii="Calibri" w:hAnsi="Calibri"/>
          <w:i/>
          <w:color w:val="64748B"/>
          <w:sz w:val="20"/>
        </w:rPr>
        <w:t xml:space="preserve">Technisches Baucontrolling · Vergabe · Projektentwicklung</w:t>
      </w:r>
    </w:p>
    <w:p>
      <w:pPr>
        <w:jc w:val="center"/>
        <w:spacing w:before="0" w:after="100" w:line="260" w:lineRule="auto"/>
      </w:pPr>
      <w:r>
        <w:rPr>
          <w:rFonts w:ascii="Calibri" w:hAnsi="Calibri"/>
          <w:b/>
          <w:color w:val="0F172A"/>
          <w:sz w:val="40"/>
        </w:rPr>
        <w:t xml:space="preserve">Der Baubuch-Prozess der WOBAK</w:t>
      </w:r>
    </w:p>
    <w:p>
      <w:pPr>
        <w:jc w:val="center"/>
        <w:spacing w:before="0" w:after="320" w:line="260" w:lineRule="auto"/>
      </w:pPr>
      <w:r>
        <w:rPr>
          <w:rFonts w:ascii="Calibri" w:hAnsi="Calibri"/>
          <w:color w:val="334155"/>
          <w:sz w:val="22"/>
        </w:rPr>
        <w:t xml:space="preserve">Vollständige operative Prozessablaufkette von der Grundstücksakquise über die 2-Wege-Kostenschätzung, Gewerke-Verteilung &amp; VOB-Vergabe bis zur KEV 311 Schlussrechnung</w:t>
      </w:r>
    </w:p>
    <w:tbl>
      <w:tblPr>
        <w:tblW w:w="9200" w:type="dxa"/>
        <w:tblBorders>
          <w:top w:val="none"/>
          <w:left w:val="single" w:sz="24" w:space="0" w:color="1E3A8A"/>
          <w:bottom w:val="none"/>
          <w:right w:val="none"/>
        </w:tblBorders>
      </w:tblPr>
      <w:tr>
        <w:tc>
          <w:tcPr>
            <w:tcW w:w="9200" w:type="dxa"/>
            <w:shd w:val="clear" w:color="auto" w:fill="F8FAFC"/>
            <w:tcMar>
              <w:top w:w="160"/>
              <w:bottom w:w="160"/>
              <w:left w:w="200"/>
              <w:right w:w="200"/>
            </w:tcMar>
          </w:tcPr>
          <w:p>
            <w:pPr>
              <w:spacing w:before="0" w:after="60" w:line="260" w:lineRule="auto"/>
            </w:pPr>
            <w:r>
              <w:rPr>
                <w:rFonts w:ascii="Calibri" w:hAnsi="Calibri"/>
                <w:b/>
                <w:color w:val="1E3A8A"/>
                <w:sz w:val="21"/>
              </w:rPr>
              <w:t xml:space="preserve">Zweck und Geltungsbereich dieses Dokuments</w:t>
            </w:r>
          </w:p>
          <w:p>
            <w:pPr>
              <w:spacing w:before="0" w:after="0" w:line="260" w:lineRule="auto"/>
            </w:pPr>
            <w:r>
              <w:rPr>
                <w:rFonts w:ascii="Calibri" w:hAnsi="Calibri"/>
                <w:color w:val="334155"/>
                <w:sz w:val="20"/>
              </w:rPr>
              <w:t xml:space="preserve">Dieses Dokument konsolidiert die vollständige reale Prozesskette des Baucontrollings und Baubuchs der WOBAK. Es beschreibt die operative Praxis, die Schnittstellen zwischen Bauleitung, Geschäftsführung, Architekten und Handwerkern sowie die methodische Lösung des Systemkonflikts zwischen kaufmännischem ERP (Yuneo), bankseitiger DIN 276 und VOB-gerechter Gewerkeausschreibung.</w:t>
            </w:r>
          </w:p>
        </w:tc>
      </w:tr>
    </w:tbl>
    <w:p>
      <w:pPr>
        <w:spacing w:before="0" w:after="140" w:line="260" w:lineRule="auto"/>
      </w:pPr>
      <w:r>
        <w:rPr>
          <w:rFonts w:ascii="Calibri" w:hAnsi="Calibri"/>
          <w:color w:val="334155"/>
          <w:sz w:val="22"/>
        </w:rPr>
        <w:t xml:space="preserve"/>
      </w:r>
    </w:p>
    <w:p>
      <w:pPr>
        <w:spacing w:before="360" w:after="140" w:line="260" w:lineRule="auto"/>
      </w:pPr>
      <w:r>
        <w:rPr>
          <w:rFonts w:ascii="Calibri" w:hAnsi="Calibri"/>
          <w:b/>
          <w:color w:val="0F172A"/>
          <w:sz w:val="32"/>
        </w:rPr>
        <w:t xml:space="preserve">1. Ausgangslage: Warum das Baubuch zwingend notwendig ist</w:t>
      </w:r>
    </w:p>
    <w:p>
      <w:pPr>
        <w:spacing w:before="0" w:after="120" w:line="260" w:lineRule="auto"/>
      </w:pPr>
      <w:r>
        <w:rPr>
          <w:rFonts w:ascii="Calibri" w:hAnsi="Calibri"/>
          <w:color w:val="334155"/>
          <w:sz w:val="22"/>
        </w:rPr>
        <w:t xml:space="preserve">Im kommunalen Wohnungsbau der WOBAK treffen drei unterschiedliche Anforderungen aufeinander, die mit herkömmlicher Standard-Software nicht synchronisiert werden können:</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1. Banken-Anforderung (DIN 276): </w:t>
      </w:r>
      <w:r>
        <w:rPr>
          <w:rFonts w:ascii="Calibri" w:hAnsi="Calibri"/>
          <w:sz w:val="21"/>
          <w:color w:val="334155"/>
        </w:rPr>
        <w:t xml:space="preserve">Die Banken fordern für die Finanzierungszusage und Beleihungswertermittlung eine strikte Gliederung aller Kosten nach DIN 276:2018-12 in den Kostengruppen 100 bis 800.</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2. Technische Bauabwicklung (AVA / VOB): </w:t>
      </w:r>
      <w:r>
        <w:rPr>
          <w:rFonts w:ascii="Calibri" w:hAnsi="Calibri"/>
          <w:sz w:val="21"/>
          <w:color w:val="334155"/>
        </w:rPr>
        <w:t xml:space="preserve">Ausschreibung und Bauüberwachung (AVA-Systeme wie ORCA) arbeiten gewerkeorientiert nach Vergabelosen und Leistungsbereichen der VOB/C.</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3. Kaufmännische Buchhaltung (ERP Yuneo): </w:t>
      </w:r>
      <w:r>
        <w:rPr>
          <w:rFonts w:ascii="Calibri" w:hAnsi="Calibri"/>
          <w:sz w:val="21"/>
          <w:color w:val="334155"/>
        </w:rPr>
        <w:t xml:space="preserve">Das unternehmensweite ERP-System (Yuneo) fungiert im Wesentlichen als reine Finanzbuchhaltung („Yuneo ist nur die Bank“). Es verbucht Rechnungen und Zahlungsströme, scheitert jedoch am operativen Baucontrolling.</w:t>
      </w:r>
    </w:p>
    <w:p>
      <w:pPr>
        <w:spacing w:before="260" w:after="100" w:line="260" w:lineRule="auto"/>
      </w:pPr>
      <w:r>
        <w:rPr>
          <w:rFonts w:ascii="Calibri" w:hAnsi="Calibri"/>
          <w:b/>
          <w:color w:val="1E3A8A"/>
          <w:sz w:val="26"/>
        </w:rPr>
        <w:t xml:space="preserve">Die vier fundamentalen Schwachstellen des Standard-ERPs</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Fehlende Kostengruppen: </w:t>
      </w:r>
      <w:r>
        <w:rPr>
          <w:rFonts w:ascii="Calibri" w:hAnsi="Calibri"/>
          <w:sz w:val="21"/>
          <w:color w:val="334155"/>
        </w:rPr>
        <w:t xml:space="preserve">In Yuneo fehlen 30 % bis 45 % der normierten DIN-276-Untergruppen. Nur etwa 70 % der benötigten Kostenpositionen sind überhaupt im Kontenrahmen abbildbar.</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Das n:m-Gewerke-Dilemma: </w:t>
      </w:r>
      <w:r>
        <w:rPr>
          <w:rFonts w:ascii="Calibri" w:hAnsi="Calibri"/>
          <w:sz w:val="21"/>
          <w:color w:val="334155"/>
        </w:rPr>
        <w:t xml:space="preserve">Ein Baugewerk verteilt sich in der Realität auf mehrere DIN-Kostengruppen und umgekehrt (z. B. Innentüren: Schreiner, Maler, Trockenbauer). Yuneo kann diese n:m-Verknüpfung nicht verarbeiten.</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Keine echte DIN-Kostengruppensalden: </w:t>
      </w:r>
      <w:r>
        <w:rPr>
          <w:rFonts w:ascii="Calibri" w:hAnsi="Calibri"/>
          <w:sz w:val="21"/>
          <w:color w:val="334155"/>
        </w:rPr>
        <w:t xml:space="preserve">Die Saldenliste in Yuneo sortiert zwar nach 5-stelligen Sachkonten, bildet aber keine lesbaren Zwischensummen je 100er-Gruppe (Kostengruppen 100, 200, 300 etc. mit Summenstrich).</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Fehlendes VOB-Formularwesen: </w:t>
      </w:r>
      <w:r>
        <w:rPr>
          <w:rFonts w:ascii="Calibri" w:hAnsi="Calibri"/>
          <w:sz w:val="21"/>
          <w:color w:val="334155"/>
        </w:rPr>
        <w:t xml:space="preserve">Formelle Absageschreiben, Fachbauleitererklärungen, Abnahmeprotokolle nach VOB/B und die 5-jährige Fristenüberwachung von Bankbürgschaften (KEV 311) existieren im ERP nicht.</w:t>
      </w:r>
    </w:p>
    <w:p>
      <w:pPr>
        <w:spacing w:before="0" w:after="120" w:line="260" w:lineRule="auto"/>
      </w:pPr>
      <w:r>
        <w:rPr>
          <w:rFonts w:ascii="Calibri" w:hAnsi="Calibri"/>
          <w:color w:val="334155"/>
          <w:sz w:val="22"/>
        </w:rPr>
        <w:t xml:space="preserve">Das Baubuch schließt diese Lücke. Es ist das prozessführende Steuerungs- und Nachweisinstrument der WOBAK, das von der ersten Idee bis zur finalen Bürgschaftsrückgabe die wirtschaftliche und rechtliche Kontrolle gewährleistet.</w:t>
      </w:r>
    </w:p>
    <w:p>
      <w:pPr>
        <w:spacing w:before="360" w:after="140" w:line="260" w:lineRule="auto"/>
      </w:pPr>
      <w:r>
        <w:rPr>
          <w:rFonts w:ascii="Calibri" w:hAnsi="Calibri"/>
          <w:b/>
          <w:color w:val="0F172A"/>
          <w:sz w:val="32"/>
        </w:rPr>
        <w:t xml:space="preserve">2. Phase 0: Grundstücksangebot &amp; Ankaufentscheidung</w:t>
      </w:r>
    </w:p>
    <w:p>
      <w:pPr>
        <w:spacing w:before="0" w:after="120" w:line="260" w:lineRule="auto"/>
      </w:pPr>
      <w:r>
        <w:rPr>
          <w:rFonts w:ascii="Calibri" w:hAnsi="Calibri"/>
          <w:color w:val="334155"/>
          <w:sz w:val="22"/>
        </w:rPr>
        <w:t xml:space="preserve">Der gesamte Bauprozess beginnt mit dem Eingang eines Grundstücksangebots bei der Geschäftsführung (Herr Götsch). Vor jeder vertieften Entwurfsplanung steht die fundamentale Weichenstellung: „Machen wir das oder machen wir das nicht?“</w:t>
      </w:r>
    </w:p>
    <w:p>
      <w:pPr>
        <w:spacing w:before="260" w:after="100" w:line="260" w:lineRule="auto"/>
      </w:pPr>
      <w:r>
        <w:rPr>
          <w:rFonts w:ascii="Calibri" w:hAnsi="Calibri"/>
          <w:b/>
          <w:color w:val="1E3A8A"/>
          <w:sz w:val="26"/>
        </w:rPr>
        <w:t xml:space="preserve">Prüfschritte des Grundstücksangebots</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1. Baurecht &amp; Baugrund: </w:t>
      </w:r>
      <w:r>
        <w:rPr>
          <w:rFonts w:ascii="Calibri" w:hAnsi="Calibri"/>
          <w:sz w:val="21"/>
          <w:color w:val="334155"/>
        </w:rPr>
        <w:t xml:space="preserve">Ermittlung des Planungsrechts: Liegt ein rechtskräftiger Bebauungsplan vor (§ 30 BauGB) oder greift § 34 BauGB (Zulässigkeit nach Eigenart der näheren Umgebung)? Prüfung von Baulasten, Altlastenverdacht, Schichtwasser oder Hanglagen sowie Abstandsflächen gem. § 5 LBO Baden-Württemberg.</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2. Baukörper-Vorentwurf: </w:t>
      </w:r>
      <w:r>
        <w:rPr>
          <w:rFonts w:ascii="Calibri" w:hAnsi="Calibri"/>
          <w:sz w:val="21"/>
          <w:color w:val="334155"/>
        </w:rPr>
        <w:t xml:space="preserve">Der Architekt zeichnet einen ersten Massen- und Vorentwurf mit der klaren Fragestellung: „Was passt drauf?“ Ziel ist die Feststellung der maximal realisierbaren Wohnfläche (WF) und des Brutto-Rauminhalts (BRI nach DIN 277).</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3. Kaufpreis &amp; Bodenrichtwert: </w:t>
      </w:r>
      <w:r>
        <w:rPr>
          <w:rFonts w:ascii="Calibri" w:hAnsi="Calibri"/>
          <w:sz w:val="21"/>
          <w:color w:val="334155"/>
        </w:rPr>
        <w:t xml:space="preserve">Der aufgerufene Kaufpreis wird ins Verhältnis zum amtlichen Bodenrichtwert gesetzt. Zuzüglich anfallender Erwerbsnebenkosten (Grunderwerbsteuer 5,0 %, Notar und Grundbuchamt 1,5 %, Vermessung) ergibt sich Kostengruppe 100.</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4. Überschlägige Rentabilität: </w:t>
      </w:r>
      <w:r>
        <w:rPr>
          <w:rFonts w:ascii="Calibri" w:hAnsi="Calibri"/>
          <w:sz w:val="21"/>
          <w:color w:val="334155"/>
        </w:rPr>
        <w:t xml:space="preserve">Auf Basis erster grober Kennwerte wird geprüft, ob sich die Baukosten über den kalkulatorischen Mietansatz tragen und eine Mindestrendite von 5,0 % darstellbar ist.</w:t>
      </w:r>
    </w:p>
    <w:tbl>
      <w:tblPr>
        <w:tblW w:w="9200" w:type="dxa"/>
        <w:tblBorders>
          <w:top w:val="none"/>
          <w:left w:val="single" w:sz="24" w:space="0" w:color="15803D"/>
          <w:bottom w:val="none"/>
          <w:right w:val="none"/>
        </w:tblBorders>
      </w:tblPr>
      <w:tr>
        <w:tc>
          <w:tcPr>
            <w:tcW w:w="9200" w:type="dxa"/>
            <w:shd w:val="clear" w:color="auto" w:fill="DCFCE7"/>
            <w:tcMar>
              <w:top w:w="160"/>
              <w:bottom w:w="160"/>
              <w:left w:w="200"/>
              <w:right w:w="200"/>
            </w:tcMar>
          </w:tcPr>
          <w:p>
            <w:pPr>
              <w:spacing w:before="0" w:after="60" w:line="260" w:lineRule="auto"/>
            </w:pPr>
            <w:r>
              <w:rPr>
                <w:rFonts w:ascii="Calibri" w:hAnsi="Calibri"/>
                <w:b/>
                <w:color w:val="15803D"/>
                <w:sz w:val="21"/>
              </w:rPr>
              <w:t xml:space="preserve">Das Decision-Gate: GO oder DISCARD</w:t>
            </w:r>
          </w:p>
          <w:p>
            <w:pPr>
              <w:spacing w:before="0" w:after="0" w:line="260" w:lineRule="auto"/>
            </w:pPr>
            <w:r>
              <w:rPr>
                <w:rFonts w:ascii="Calibri" w:hAnsi="Calibri"/>
                <w:color w:val="334155"/>
                <w:sz w:val="20"/>
              </w:rPr>
              <w:t xml:space="preserve">• GO (Ankauf genehmigt): Wenn Bebaubarkeit gesichert, Kaufpreis marktgerecht und Wirtschaftlichkeit positiv ist, erteilt Herr Götsch den Ankaufbeschluss. Das Projekt wird im System angelegt.</w:t>
            </w:r>
            <w:r>
              <w:br/>
            </w:r>
            <w:r>
              <w:rPr>
                <w:rFonts w:ascii="Calibri" w:hAnsi="Calibri"/>
                <w:color w:val="334155"/>
                <w:sz w:val="20"/>
              </w:rPr>
              <w:t xml:space="preserve">• DISCARD (Angebot verwerfen): Fällt die Prüfung negativ aus (z. B. unlösbare Lärmbelastung, überhöhter Kaufpreis, Altlasten), wird das Angebot sofort verworfen. So werden kostspielige Fehlplanungen verhindert.</w:t>
            </w:r>
          </w:p>
        </w:tc>
      </w:tr>
    </w:tbl>
    <w:p>
      <w:pPr>
        <w:spacing w:before="360" w:after="140" w:line="260" w:lineRule="auto"/>
      </w:pPr>
      <w:r>
        <w:rPr>
          <w:rFonts w:ascii="Calibri" w:hAnsi="Calibri"/>
          <w:b/>
          <w:color w:val="0F172A"/>
          <w:sz w:val="32"/>
        </w:rPr>
        <w:t xml:space="preserve">3. Phase 1: Die 2-Wege-Baukostenschätzung</w:t>
      </w:r>
    </w:p>
    <w:p>
      <w:pPr>
        <w:spacing w:before="0" w:after="120" w:line="260" w:lineRule="auto"/>
      </w:pPr>
      <w:r>
        <w:rPr>
          <w:rFonts w:ascii="Calibri" w:hAnsi="Calibri"/>
          <w:color w:val="334155"/>
          <w:sz w:val="22"/>
        </w:rPr>
        <w:t xml:space="preserve">Nach dem GO startet die fundierte Kostenschätzung (DIN 276 Stufe 1). Baukosten steigen kontinuierlich („Kosten letztes Jahr + 5 %, nein 10 %, weil die Steigerung der Baukosten weitergeht“). Eine verlässliche Schätzung darf sich niemals auf nur eine einzige Kenngröße stützen.</w:t>
      </w:r>
    </w:p>
    <w:p>
      <w:pPr>
        <w:spacing w:before="260" w:after="100" w:line="260" w:lineRule="auto"/>
      </w:pPr>
      <w:r>
        <w:rPr>
          <w:rFonts w:ascii="Calibri" w:hAnsi="Calibri"/>
          <w:b/>
          <w:color w:val="1E3A8A"/>
          <w:sz w:val="26"/>
        </w:rPr>
        <w:t xml:space="preserve">Die 2-Wege-Plausibilisierungsmethode</w:t>
      </w:r>
    </w:p>
    <w:p>
      <w:pPr>
        <w:spacing w:before="0" w:after="120" w:line="260" w:lineRule="auto"/>
      </w:pPr>
      <w:r>
        <w:rPr>
          <w:rFonts w:ascii="Calibri" w:hAnsi="Calibri"/>
          <w:color w:val="334155"/>
          <w:sz w:val="22"/>
        </w:rPr>
        <w:t xml:space="preserve">Die WOBAK wendet zur Absicherung des Schätzpreises ein doppeltes Rechenverfahren an:</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Weg A: </w:t>
      </w:r>
      <w:r>
        <w:rPr>
          <w:rFonts w:ascii="Calibri" w:hAnsi="Calibri"/>
          <w:sz w:val="21"/>
          <w:color w:val="334155"/>
        </w:rPr>
        <w:t xml:space="preserve">Wohnflächen-Ansatz: Wohnfläche (m² WF) multipliziert mit dem flächenbezogenen Kostenkennwert (€/m² WF) eines abgeschlossenen, baulich vergleichbaren Referenzprojekts, angepasst um den aktuellen Baupreisindex (z. B. Faktor 1,10).</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Weg B: </w:t>
      </w:r>
      <w:r>
        <w:rPr>
          <w:rFonts w:ascii="Calibri" w:hAnsi="Calibri"/>
          <w:sz w:val="21"/>
          <w:color w:val="334155"/>
        </w:rPr>
        <w:t xml:space="preserve">Volumen-Ansatz: Brutto-Rauminhalt (m³ BRI) multipliziert mit dem volumenbezogenen Kostenkennwert (€/m³ BRI) desselben Referenzprojekts.</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Gegenprobe &amp; Mittelung: </w:t>
      </w:r>
      <w:r>
        <w:rPr>
          <w:rFonts w:ascii="Calibri" w:hAnsi="Calibri"/>
          <w:sz w:val="21"/>
          <w:color w:val="334155"/>
        </w:rPr>
        <w:t xml:space="preserve">Beide Berechnungen werden für dasselbe Referenzprojekt durchgeführt. Anschließend wird ein zweites Referenzprojekt herangezogen. Aus den Ergebnissen wird der Mittelwert gebildet, um die reinen Bauwerkskosten (KG 300 + KG 400) zu fixieren.</w:t>
      </w:r>
    </w:p>
    <w:tbl>
      <w:tblPr>
        <w:tblW w:w="9200" w:type="dxa"/>
        <w:tblBorders>
          <w:top w:val="single" w:sz="6" w:space="0" w:color="CBD5E1"/>
          <w:bottom w:val="single" w:sz="6" w:space="0" w:color="CBD5E1"/>
          <w:insideH w:val="single" w:sz="4" w:space="0" w:color="E2E8F0"/>
          <w:insideV w:val="none"/>
          <w:left w:val="none"/>
          <w:right w:val="none"/>
        </w:tblBorders>
      </w:tblPr>
      <w:tblGrid>
        <w:gridCol w:w="2400"/>
        <w:gridCol w:w="2000"/>
        <w:gridCol w:w="2400"/>
        <w:gridCol w:w="2400"/>
      </w:tblGrid>
      <w:tr>
        <w:tc>
          <w:tcPr>
            <w:tcW w:w="2400" w:type="dxa"/>
            <w:shd w:val="clear" w:color="auto" w:fill="F1F5F9"/>
            <w:tcMar>
              <w:top w:w="120"/>
              <w:bottom w:w="120"/>
              <w:left w:w="140"/>
              <w:right w:w="140"/>
            </w:tcMar>
          </w:tcPr>
          <w:p>
            <w:pPr>
              <w:spacing w:after="0"/>
            </w:pPr>
            <w:r>
              <w:rPr>
                <w:rFonts w:ascii="Calibri" w:hAnsi="Calibri"/>
                <w:b/>
                <w:sz w:val="21"/>
                <w:color w:val="0F172A"/>
              </w:rPr>
              <w:t xml:space="preserve">Berechnungsweg</w:t>
            </w:r>
          </w:p>
        </w:tc>
        <w:tc>
          <w:tcPr>
            <w:tcW w:w="2000" w:type="dxa"/>
            <w:shd w:val="clear" w:color="auto" w:fill="F1F5F9"/>
            <w:tcMar>
              <w:top w:w="120"/>
              <w:bottom w:w="120"/>
              <w:left w:w="140"/>
              <w:right w:w="140"/>
            </w:tcMar>
          </w:tcPr>
          <w:p>
            <w:pPr>
              <w:spacing w:after="0"/>
            </w:pPr>
            <w:r>
              <w:rPr>
                <w:rFonts w:ascii="Calibri" w:hAnsi="Calibri"/>
                <w:b/>
                <w:sz w:val="21"/>
                <w:color w:val="0F172A"/>
              </w:rPr>
              <w:t xml:space="preserve">Bezugsgröße</w:t>
            </w:r>
          </w:p>
        </w:tc>
        <w:tc>
          <w:tcPr>
            <w:tcW w:w="2400" w:type="dxa"/>
            <w:shd w:val="clear" w:color="auto" w:fill="F1F5F9"/>
            <w:tcMar>
              <w:top w:w="120"/>
              <w:bottom w:w="120"/>
              <w:left w:w="140"/>
              <w:right w:w="140"/>
            </w:tcMar>
          </w:tcPr>
          <w:p>
            <w:pPr>
              <w:spacing w:after="0"/>
            </w:pPr>
            <w:r>
              <w:rPr>
                <w:rFonts w:ascii="Calibri" w:hAnsi="Calibri"/>
                <w:b/>
                <w:sz w:val="21"/>
                <w:color w:val="0F172A"/>
              </w:rPr>
              <w:t xml:space="preserve">Muster-Kennwert (indexiert)</w:t>
            </w:r>
          </w:p>
        </w:tc>
        <w:tc>
          <w:tcPr>
            <w:tcW w:w="2400" w:type="dxa"/>
            <w:shd w:val="clear" w:color="auto" w:fill="F1F5F9"/>
            <w:tcMar>
              <w:top w:w="120"/>
              <w:bottom w:w="120"/>
              <w:left w:w="140"/>
              <w:right w:w="140"/>
            </w:tcMar>
          </w:tcPr>
          <w:p>
            <w:pPr>
              <w:spacing w:after="0"/>
            </w:pPr>
            <w:r>
              <w:rPr>
                <w:rFonts w:ascii="Calibri" w:hAnsi="Calibri"/>
                <w:b/>
                <w:sz w:val="21"/>
                <w:color w:val="0F172A"/>
              </w:rPr>
              <w:t xml:space="preserve">Ergebnis Bauwerk (KG 300+400)</w:t>
            </w:r>
          </w:p>
        </w:tc>
      </w:tr>
      <w:tr>
        <w:tc>
          <w:tcPr>
            <w:tcW w:w="2400" w:type="dxa"/>
            <w:tcMar>
              <w:top w:w="120"/>
              <w:bottom w:w="120"/>
              <w:left w:w="140"/>
              <w:right w:w="140"/>
            </w:tcMar>
          </w:tcPr>
          <w:p>
            <w:pPr>
              <w:spacing w:after="0"/>
            </w:pPr>
            <w:r>
              <w:rPr>
                <w:rFonts w:ascii="Calibri" w:hAnsi="Calibri"/>
                <w:sz w:val="20"/>
                <w:color w:val="334155"/>
              </w:rPr>
              <w:t xml:space="preserve">Weg A: Wohnfläche</w:t>
            </w:r>
          </w:p>
        </w:tc>
        <w:tc>
          <w:tcPr>
            <w:tcW w:w="2000" w:type="dxa"/>
            <w:tcMar>
              <w:top w:w="120"/>
              <w:bottom w:w="120"/>
              <w:left w:w="140"/>
              <w:right w:w="140"/>
            </w:tcMar>
          </w:tcPr>
          <w:p>
            <w:pPr>
              <w:spacing w:after="0"/>
            </w:pPr>
            <w:r>
              <w:rPr>
                <w:rFonts w:ascii="Calibri" w:hAnsi="Calibri"/>
                <w:sz w:val="20"/>
                <w:color w:val="334155"/>
              </w:rPr>
              <w:t xml:space="preserve">1.820 m² WF</w:t>
            </w:r>
          </w:p>
        </w:tc>
        <w:tc>
          <w:tcPr>
            <w:tcW w:w="2400" w:type="dxa"/>
            <w:tcMar>
              <w:top w:w="120"/>
              <w:bottom w:w="120"/>
              <w:left w:w="140"/>
              <w:right w:w="140"/>
            </w:tcMar>
          </w:tcPr>
          <w:p>
            <w:pPr>
              <w:spacing w:after="0"/>
            </w:pPr>
            <w:r>
              <w:rPr>
                <w:rFonts w:ascii="Calibri" w:hAnsi="Calibri"/>
                <w:sz w:val="20"/>
                <w:color w:val="334155"/>
              </w:rPr>
              <w:t xml:space="preserve">1.745,00 € / m² WF</w:t>
            </w:r>
          </w:p>
        </w:tc>
        <w:tc>
          <w:tcPr>
            <w:tcW w:w="2400" w:type="dxa"/>
            <w:shd w:val="clear" w:color="auto" w:fill="F1F5F9"/>
            <w:tcMar>
              <w:top w:w="120"/>
              <w:bottom w:w="120"/>
              <w:left w:w="140"/>
              <w:right w:w="140"/>
            </w:tcMar>
          </w:tcPr>
          <w:p>
            <w:pPr>
              <w:spacing w:after="0"/>
            </w:pPr>
            <w:r>
              <w:rPr>
                <w:rFonts w:ascii="Calibri" w:hAnsi="Calibri"/>
                <w:b/>
                <w:sz w:val="21"/>
                <w:color w:val="0F172A"/>
              </w:rPr>
              <w:t xml:space="preserve">3.175.900 €</w:t>
            </w:r>
          </w:p>
        </w:tc>
      </w:tr>
      <w:tr>
        <w:tc>
          <w:tcPr>
            <w:tcW w:w="2400" w:type="dxa"/>
            <w:tcMar>
              <w:top w:w="120"/>
              <w:bottom w:w="120"/>
              <w:left w:w="140"/>
              <w:right w:w="140"/>
            </w:tcMar>
          </w:tcPr>
          <w:p>
            <w:pPr>
              <w:spacing w:after="0"/>
            </w:pPr>
            <w:r>
              <w:rPr>
                <w:rFonts w:ascii="Calibri" w:hAnsi="Calibri"/>
                <w:sz w:val="20"/>
                <w:color w:val="334155"/>
              </w:rPr>
              <w:t xml:space="preserve">Weg B: Brutto-Volumen</w:t>
            </w:r>
          </w:p>
        </w:tc>
        <w:tc>
          <w:tcPr>
            <w:tcW w:w="2000" w:type="dxa"/>
            <w:tcMar>
              <w:top w:w="120"/>
              <w:bottom w:w="120"/>
              <w:left w:w="140"/>
              <w:right w:w="140"/>
            </w:tcMar>
          </w:tcPr>
          <w:p>
            <w:pPr>
              <w:spacing w:after="0"/>
            </w:pPr>
            <w:r>
              <w:rPr>
                <w:rFonts w:ascii="Calibri" w:hAnsi="Calibri"/>
                <w:sz w:val="20"/>
                <w:color w:val="334155"/>
              </w:rPr>
              <w:t xml:space="preserve">7.450 m³ BRI</w:t>
            </w:r>
          </w:p>
        </w:tc>
        <w:tc>
          <w:tcPr>
            <w:tcW w:w="2400" w:type="dxa"/>
            <w:tcMar>
              <w:top w:w="120"/>
              <w:bottom w:w="120"/>
              <w:left w:w="140"/>
              <w:right w:w="140"/>
            </w:tcMar>
          </w:tcPr>
          <w:p>
            <w:pPr>
              <w:spacing w:after="0"/>
            </w:pPr>
            <w:r>
              <w:rPr>
                <w:rFonts w:ascii="Calibri" w:hAnsi="Calibri"/>
                <w:sz w:val="20"/>
                <w:color w:val="334155"/>
              </w:rPr>
              <w:t xml:space="preserve">435,00 € / m³ BRI</w:t>
            </w:r>
          </w:p>
        </w:tc>
        <w:tc>
          <w:tcPr>
            <w:tcW w:w="2400" w:type="dxa"/>
            <w:shd w:val="clear" w:color="auto" w:fill="F1F5F9"/>
            <w:tcMar>
              <w:top w:w="120"/>
              <w:bottom w:w="120"/>
              <w:left w:w="140"/>
              <w:right w:w="140"/>
            </w:tcMar>
          </w:tcPr>
          <w:p>
            <w:pPr>
              <w:spacing w:after="0"/>
            </w:pPr>
            <w:r>
              <w:rPr>
                <w:rFonts w:ascii="Calibri" w:hAnsi="Calibri"/>
                <w:b/>
                <w:sz w:val="21"/>
                <w:color w:val="0F172A"/>
              </w:rPr>
              <w:t xml:space="preserve">3.240.750 €</w:t>
            </w:r>
          </w:p>
        </w:tc>
      </w:tr>
      <w:tr>
        <w:tc>
          <w:tcPr>
            <w:tcW w:w="2400" w:type="dxa"/>
            <w:tcMar>
              <w:top w:w="120"/>
              <w:bottom w:w="120"/>
              <w:left w:w="140"/>
              <w:right w:w="140"/>
            </w:tcMar>
          </w:tcPr>
          <w:p>
            <w:pPr>
              <w:spacing w:after="0"/>
            </w:pPr>
            <w:r>
              <w:rPr>
                <w:rFonts w:ascii="Calibri" w:hAnsi="Calibri"/>
                <w:sz w:val="20"/>
                <w:color w:val="334155"/>
              </w:rPr>
              <w:t xml:space="preserve">Mittelwert Bauwerk (Summe X)</w:t>
            </w:r>
          </w:p>
        </w:tc>
        <w:tc>
          <w:tcPr>
            <w:tcW w:w="2000" w:type="dxa"/>
            <w:tcMar>
              <w:top w:w="120"/>
              <w:bottom w:w="120"/>
              <w:left w:w="140"/>
              <w:right w:w="140"/>
            </w:tcMar>
          </w:tcPr>
          <w:p>
            <w:pPr>
              <w:spacing w:after="0"/>
            </w:pPr>
            <w:r>
              <w:rPr>
                <w:rFonts w:ascii="Calibri" w:hAnsi="Calibri"/>
                <w:sz w:val="20"/>
                <w:color w:val="334155"/>
              </w:rPr>
              <w:t xml:space="preserve">Bereinigte Basis</w:t>
            </w:r>
          </w:p>
        </w:tc>
        <w:tc>
          <w:tcPr>
            <w:tcW w:w="2400" w:type="dxa"/>
            <w:tcMar>
              <w:top w:w="120"/>
              <w:bottom w:w="120"/>
              <w:left w:w="140"/>
              <w:right w:w="140"/>
            </w:tcMar>
          </w:tcPr>
          <w:p>
            <w:pPr>
              <w:spacing w:after="0"/>
            </w:pPr>
            <w:r>
              <w:rPr>
                <w:rFonts w:ascii="Calibri" w:hAnsi="Calibri"/>
                <w:sz w:val="20"/>
                <w:color w:val="334155"/>
              </w:rPr>
              <w:t xml:space="preserve">Mittelung Weg A + B</w:t>
            </w:r>
          </w:p>
        </w:tc>
        <w:tc>
          <w:tcPr>
            <w:tcW w:w="2400" w:type="dxa"/>
            <w:shd w:val="clear" w:color="auto" w:fill="F1F5F9"/>
            <w:tcMar>
              <w:top w:w="120"/>
              <w:bottom w:w="120"/>
              <w:left w:w="140"/>
              <w:right w:w="140"/>
            </w:tcMar>
          </w:tcPr>
          <w:p>
            <w:pPr>
              <w:spacing w:after="0"/>
            </w:pPr>
            <w:r>
              <w:rPr>
                <w:rFonts w:ascii="Calibri" w:hAnsi="Calibri"/>
                <w:b/>
                <w:sz w:val="21"/>
                <w:color w:val="0F172A"/>
              </w:rPr>
              <w:t xml:space="preserve">3.208.325 €</w:t>
            </w:r>
          </w:p>
        </w:tc>
      </w:tr>
      <w:tr>
        <w:tc>
          <w:tcPr>
            <w:tcW w:w="2400" w:type="dxa"/>
            <w:tcMar>
              <w:top w:w="120"/>
              <w:bottom w:w="120"/>
              <w:left w:w="140"/>
              <w:right w:w="140"/>
            </w:tcMar>
          </w:tcPr>
          <w:p>
            <w:pPr>
              <w:spacing w:after="0"/>
            </w:pPr>
            <w:r>
              <w:rPr>
                <w:rFonts w:ascii="Calibri" w:hAnsi="Calibri"/>
                <w:sz w:val="20"/>
                <w:color w:val="334155"/>
              </w:rPr>
              <w:t xml:space="preserve">Außenanlagen (KG 500)</w:t>
            </w:r>
          </w:p>
        </w:tc>
        <w:tc>
          <w:tcPr>
            <w:tcW w:w="2000" w:type="dxa"/>
            <w:tcMar>
              <w:top w:w="120"/>
              <w:bottom w:w="120"/>
              <w:left w:w="140"/>
              <w:right w:w="140"/>
            </w:tcMar>
          </w:tcPr>
          <w:p>
            <w:pPr>
              <w:spacing w:after="0"/>
            </w:pPr>
            <w:r>
              <w:rPr>
                <w:rFonts w:ascii="Calibri" w:hAnsi="Calibri"/>
                <w:sz w:val="20"/>
                <w:color w:val="334155"/>
              </w:rPr>
              <w:t xml:space="preserve">Pauschal / qm</w:t>
            </w:r>
          </w:p>
        </w:tc>
        <w:tc>
          <w:tcPr>
            <w:tcW w:w="2400" w:type="dxa"/>
            <w:tcMar>
              <w:top w:w="120"/>
              <w:bottom w:w="120"/>
              <w:left w:w="140"/>
              <w:right w:w="140"/>
            </w:tcMar>
          </w:tcPr>
          <w:p>
            <w:pPr>
              <w:spacing w:after="0"/>
            </w:pPr>
            <w:r>
              <w:rPr>
                <w:rFonts w:ascii="Calibri" w:hAnsi="Calibri"/>
                <w:sz w:val="20"/>
                <w:color w:val="334155"/>
              </w:rPr>
              <w:t xml:space="preserve">Erfahrungswert 6,5 %</w:t>
            </w:r>
          </w:p>
        </w:tc>
        <w:tc>
          <w:tcPr>
            <w:tcW w:w="2400" w:type="dxa"/>
            <w:tcMar>
              <w:top w:w="120"/>
              <w:bottom w:w="120"/>
              <w:left w:w="140"/>
              <w:right w:w="140"/>
            </w:tcMar>
          </w:tcPr>
          <w:p>
            <w:pPr>
              <w:spacing w:after="0"/>
            </w:pPr>
            <w:r>
              <w:rPr>
                <w:rFonts w:ascii="Calibri" w:hAnsi="Calibri"/>
                <w:sz w:val="20"/>
                <w:color w:val="334155"/>
              </w:rPr>
              <w:t xml:space="preserve">208.500 €</w:t>
            </w:r>
          </w:p>
        </w:tc>
      </w:tr>
      <w:tr>
        <w:tc>
          <w:tcPr>
            <w:tcW w:w="2400" w:type="dxa"/>
            <w:tcMar>
              <w:top w:w="120"/>
              <w:bottom w:w="120"/>
              <w:left w:w="140"/>
              <w:right w:w="140"/>
            </w:tcMar>
          </w:tcPr>
          <w:p>
            <w:pPr>
              <w:spacing w:after="0"/>
            </w:pPr>
            <w:r>
              <w:rPr>
                <w:rFonts w:ascii="Calibri" w:hAnsi="Calibri"/>
                <w:sz w:val="20"/>
                <w:color w:val="334155"/>
              </w:rPr>
              <w:t xml:space="preserve">Baunebenkosten (KG 700)</w:t>
            </w:r>
          </w:p>
        </w:tc>
        <w:tc>
          <w:tcPr>
            <w:tcW w:w="2000" w:type="dxa"/>
            <w:tcMar>
              <w:top w:w="120"/>
              <w:bottom w:w="120"/>
              <w:left w:w="140"/>
              <w:right w:w="140"/>
            </w:tcMar>
          </w:tcPr>
          <w:p>
            <w:pPr>
              <w:spacing w:after="0"/>
            </w:pPr>
            <w:r>
              <w:rPr>
                <w:rFonts w:ascii="Calibri" w:hAnsi="Calibri"/>
                <w:sz w:val="20"/>
                <w:color w:val="334155"/>
              </w:rPr>
              <w:t xml:space="preserve">HOAI Honorare</w:t>
            </w:r>
          </w:p>
        </w:tc>
        <w:tc>
          <w:tcPr>
            <w:tcW w:w="2400" w:type="dxa"/>
            <w:tcMar>
              <w:top w:w="120"/>
              <w:bottom w:w="120"/>
              <w:left w:w="140"/>
              <w:right w:w="140"/>
            </w:tcMar>
          </w:tcPr>
          <w:p>
            <w:pPr>
              <w:spacing w:after="0"/>
            </w:pPr>
            <w:r>
              <w:rPr>
                <w:rFonts w:ascii="Calibri" w:hAnsi="Calibri"/>
                <w:sz w:val="20"/>
                <w:color w:val="334155"/>
              </w:rPr>
              <w:t xml:space="preserve">17,0 % auf KG 300–500</w:t>
            </w:r>
          </w:p>
        </w:tc>
        <w:tc>
          <w:tcPr>
            <w:tcW w:w="2400" w:type="dxa"/>
            <w:tcMar>
              <w:top w:w="120"/>
              <w:bottom w:w="120"/>
              <w:left w:w="140"/>
              <w:right w:w="140"/>
            </w:tcMar>
          </w:tcPr>
          <w:p>
            <w:pPr>
              <w:spacing w:after="0"/>
            </w:pPr>
            <w:r>
              <w:rPr>
                <w:rFonts w:ascii="Calibri" w:hAnsi="Calibri"/>
                <w:sz w:val="20"/>
                <w:color w:val="334155"/>
              </w:rPr>
              <w:t xml:space="preserve">580.865 €</w:t>
            </w:r>
          </w:p>
        </w:tc>
      </w:tr>
      <w:tr>
        <w:tc>
          <w:tcPr>
            <w:tcW w:w="2400" w:type="dxa"/>
            <w:tcMar>
              <w:top w:w="120"/>
              <w:bottom w:w="120"/>
              <w:left w:w="140"/>
              <w:right w:w="140"/>
            </w:tcMar>
          </w:tcPr>
          <w:p>
            <w:pPr>
              <w:spacing w:after="0"/>
            </w:pPr>
            <w:r>
              <w:rPr>
                <w:rFonts w:ascii="Calibri" w:hAnsi="Calibri"/>
                <w:sz w:val="20"/>
                <w:color w:val="334155"/>
              </w:rPr>
              <w:t xml:space="preserve">Grundstück (KG 100+200)</w:t>
            </w:r>
          </w:p>
        </w:tc>
        <w:tc>
          <w:tcPr>
            <w:tcW w:w="2000" w:type="dxa"/>
            <w:tcMar>
              <w:top w:w="120"/>
              <w:bottom w:w="120"/>
              <w:left w:w="140"/>
              <w:right w:w="140"/>
            </w:tcMar>
          </w:tcPr>
          <w:p>
            <w:pPr>
              <w:spacing w:after="0"/>
            </w:pPr>
            <w:r>
              <w:rPr>
                <w:rFonts w:ascii="Calibri" w:hAnsi="Calibri"/>
                <w:sz w:val="20"/>
                <w:color w:val="334155"/>
              </w:rPr>
              <w:t xml:space="preserve">1.450 m² GS</w:t>
            </w:r>
          </w:p>
        </w:tc>
        <w:tc>
          <w:tcPr>
            <w:tcW w:w="2400" w:type="dxa"/>
            <w:tcMar>
              <w:top w:w="120"/>
              <w:bottom w:w="120"/>
              <w:left w:w="140"/>
              <w:right w:w="140"/>
            </w:tcMar>
          </w:tcPr>
          <w:p>
            <w:pPr>
              <w:spacing w:after="0"/>
            </w:pPr>
            <w:r>
              <w:rPr>
                <w:rFonts w:ascii="Calibri" w:hAnsi="Calibri"/>
                <w:sz w:val="20"/>
                <w:color w:val="334155"/>
              </w:rPr>
              <w:t xml:space="preserve">Kaufpreis + 6,5 % Nebenk.</w:t>
            </w:r>
          </w:p>
        </w:tc>
        <w:tc>
          <w:tcPr>
            <w:tcW w:w="2400" w:type="dxa"/>
            <w:tcMar>
              <w:top w:w="120"/>
              <w:bottom w:w="120"/>
              <w:left w:w="140"/>
              <w:right w:w="140"/>
            </w:tcMar>
          </w:tcPr>
          <w:p>
            <w:pPr>
              <w:spacing w:after="0"/>
            </w:pPr>
            <w:r>
              <w:rPr>
                <w:rFonts w:ascii="Calibri" w:hAnsi="Calibri"/>
                <w:sz w:val="20"/>
                <w:color w:val="334155"/>
              </w:rPr>
              <w:t xml:space="preserve">1.437.750 €</w:t>
            </w:r>
          </w:p>
        </w:tc>
      </w:tr>
      <w:tr>
        <w:tc>
          <w:tcPr>
            <w:tcW w:w="2400" w:type="dxa"/>
            <w:shd w:val="clear" w:color="auto" w:fill="F1F5F9"/>
            <w:tcMar>
              <w:top w:w="120"/>
              <w:bottom w:w="120"/>
              <w:left w:w="140"/>
              <w:right w:w="140"/>
            </w:tcMar>
          </w:tcPr>
          <w:p>
            <w:pPr>
              <w:spacing w:after="0"/>
            </w:pPr>
            <w:r>
              <w:rPr>
                <w:rFonts w:ascii="Calibri" w:hAnsi="Calibri"/>
                <w:b/>
                <w:sz w:val="21"/>
                <w:color w:val="0F172A"/>
              </w:rPr>
              <w:t xml:space="preserve">GESAMT-SCHÄTZPREIS</w:t>
            </w:r>
          </w:p>
        </w:tc>
        <w:tc>
          <w:tcPr>
            <w:tcW w:w="2000" w:type="dxa"/>
            <w:shd w:val="clear" w:color="auto" w:fill="F1F5F9"/>
            <w:tcMar>
              <w:top w:w="120"/>
              <w:bottom w:w="120"/>
              <w:left w:w="140"/>
              <w:right w:w="140"/>
            </w:tcMar>
          </w:tcPr>
          <w:p>
            <w:pPr>
              <w:spacing w:after="0"/>
            </w:pPr>
            <w:r>
              <w:rPr>
                <w:rFonts w:ascii="Calibri" w:hAnsi="Calibri"/>
                <w:b/>
                <w:sz w:val="21"/>
                <w:color w:val="0F172A"/>
              </w:rPr>
              <w:t xml:space="preserve">Investitionsrahmen</w:t>
            </w:r>
          </w:p>
        </w:tc>
        <w:tc>
          <w:tcPr>
            <w:tcW w:w="2400" w:type="dxa"/>
            <w:shd w:val="clear" w:color="auto" w:fill="F1F5F9"/>
            <w:tcMar>
              <w:top w:w="120"/>
              <w:bottom w:w="120"/>
              <w:left w:w="140"/>
              <w:right w:w="140"/>
            </w:tcMar>
          </w:tcPr>
          <w:p>
            <w:pPr>
              <w:spacing w:after="0"/>
            </w:pPr>
            <w:r>
              <w:rPr>
                <w:rFonts w:ascii="Calibri" w:hAnsi="Calibri"/>
                <w:b/>
                <w:sz w:val="21"/>
                <w:color w:val="0F172A"/>
              </w:rPr>
              <w:t xml:space="preserve">DIN 276 Stufe 1</w:t>
            </w:r>
          </w:p>
        </w:tc>
        <w:tc>
          <w:tcPr>
            <w:tcW w:w="2400" w:type="dxa"/>
            <w:shd w:val="clear" w:color="auto" w:fill="F1F5F9"/>
            <w:tcMar>
              <w:top w:w="120"/>
              <w:bottom w:w="120"/>
              <w:left w:w="140"/>
              <w:right w:w="140"/>
            </w:tcMar>
          </w:tcPr>
          <w:p>
            <w:pPr>
              <w:spacing w:after="0"/>
            </w:pPr>
            <w:r>
              <w:rPr>
                <w:rFonts w:ascii="Calibri" w:hAnsi="Calibri"/>
                <w:b/>
                <w:sz w:val="21"/>
                <w:color w:val="0F172A"/>
              </w:rPr>
              <w:t xml:space="preserve">5.435.440 €</w:t>
            </w:r>
          </w:p>
        </w:tc>
      </w:tr>
    </w:tbl>
    <w:p>
      <w:pPr>
        <w:spacing w:before="0" w:after="120" w:line="260" w:lineRule="auto"/>
      </w:pPr>
      <w:r>
        <w:rPr>
          <w:rFonts w:ascii="Calibri" w:hAnsi="Calibri"/>
          <w:color w:val="334155"/>
          <w:sz w:val="22"/>
        </w:rPr>
        <w:t xml:space="preserve"/>
      </w:r>
    </w:p>
    <w:p>
      <w:pPr>
        <w:spacing w:before="0" w:after="120" w:line="260" w:lineRule="auto"/>
      </w:pPr>
      <w:r>
        <w:rPr>
          <w:rFonts w:ascii="Calibri" w:hAnsi="Calibri"/>
          <w:color w:val="334155"/>
          <w:sz w:val="22"/>
        </w:rPr>
        <w:t xml:space="preserve">Der resultierende Gesamt-Schätzpreis ist die verbindliche Obergrenze und bildet die Ausgangsbasis für die Bankfinanzierung und die Aufteilung auf die Baugewerke.</w:t>
      </w:r>
    </w:p>
    <w:p>
      <w:pPr>
        <w:spacing w:before="360" w:after="140" w:line="260" w:lineRule="auto"/>
      </w:pPr>
      <w:r>
        <w:rPr>
          <w:rFonts w:ascii="Calibri" w:hAnsi="Calibri"/>
          <w:b/>
          <w:color w:val="0F172A"/>
          <w:sz w:val="32"/>
        </w:rPr>
        <w:t xml:space="preserve">4. Phase 2: Gewerke-Verteilung &amp; die DIN-276-Matrix</w:t>
      </w:r>
    </w:p>
    <w:p>
      <w:pPr>
        <w:spacing w:before="0" w:after="120" w:line="260" w:lineRule="auto"/>
      </w:pPr>
      <w:r>
        <w:rPr>
          <w:rFonts w:ascii="Calibri" w:hAnsi="Calibri"/>
          <w:color w:val="334155"/>
          <w:sz w:val="22"/>
        </w:rPr>
        <w:t xml:space="preserve">Liegt der Schätzpreis für das Bauwerk (KG 300 + 400) vor, erfolgt die Verteilung auf die einzelnen Handwerker-Gewerke. Die WOBAK greift hierbei auf langjährige Erfahrungswerte zurück:</w:t>
      </w:r>
    </w:p>
    <w:tbl>
      <w:tblPr>
        <w:tblW w:w="9200" w:type="dxa"/>
        <w:tblBorders>
          <w:top w:val="single" w:sz="6" w:space="0" w:color="CBD5E1"/>
          <w:bottom w:val="single" w:sz="6" w:space="0" w:color="CBD5E1"/>
          <w:insideH w:val="single" w:sz="4" w:space="0" w:color="E2E8F0"/>
          <w:insideV w:val="none"/>
          <w:left w:val="none"/>
          <w:right w:val="none"/>
        </w:tblBorders>
      </w:tblPr>
      <w:tblGrid>
        <w:gridCol w:w="3000"/>
        <w:gridCol w:w="1800"/>
        <w:gridCol w:w="3000"/>
        <w:gridCol w:w="1400"/>
      </w:tblGrid>
      <w:tr>
        <w:tc>
          <w:tcPr>
            <w:tcW w:w="3000" w:type="dxa"/>
            <w:shd w:val="clear" w:color="auto" w:fill="F1F5F9"/>
            <w:tcMar>
              <w:top w:w="120"/>
              <w:bottom w:w="120"/>
              <w:left w:w="140"/>
              <w:right w:w="140"/>
            </w:tcMar>
          </w:tcPr>
          <w:p>
            <w:pPr>
              <w:spacing w:after="0"/>
            </w:pPr>
            <w:r>
              <w:rPr>
                <w:rFonts w:ascii="Calibri" w:hAnsi="Calibri"/>
                <w:b/>
                <w:sz w:val="21"/>
                <w:color w:val="0F172A"/>
              </w:rPr>
              <w:t xml:space="preserve">Gewerk / Leistungsbereich</w:t>
            </w:r>
          </w:p>
        </w:tc>
        <w:tc>
          <w:tcPr>
            <w:tcW w:w="1800" w:type="dxa"/>
            <w:shd w:val="clear" w:color="auto" w:fill="F1F5F9"/>
            <w:tcMar>
              <w:top w:w="120"/>
              <w:bottom w:w="120"/>
              <w:left w:w="140"/>
              <w:right w:w="140"/>
            </w:tcMar>
          </w:tcPr>
          <w:p>
            <w:pPr>
              <w:spacing w:after="0"/>
            </w:pPr>
            <w:r>
              <w:rPr>
                <w:rFonts w:ascii="Calibri" w:hAnsi="Calibri"/>
                <w:b/>
                <w:sz w:val="21"/>
                <w:color w:val="0F172A"/>
              </w:rPr>
              <w:t xml:space="preserve">VOB/C</w:t>
            </w:r>
          </w:p>
        </w:tc>
        <w:tc>
          <w:tcPr>
            <w:tcW w:w="3000" w:type="dxa"/>
            <w:shd w:val="clear" w:color="auto" w:fill="F1F5F9"/>
            <w:tcMar>
              <w:top w:w="120"/>
              <w:bottom w:w="120"/>
              <w:left w:w="140"/>
              <w:right w:w="140"/>
            </w:tcMar>
          </w:tcPr>
          <w:p>
            <w:pPr>
              <w:spacing w:after="0"/>
            </w:pPr>
            <w:r>
              <w:rPr>
                <w:rFonts w:ascii="Calibri" w:hAnsi="Calibri"/>
                <w:b/>
                <w:sz w:val="21"/>
                <w:color w:val="0F172A"/>
              </w:rPr>
              <w:t xml:space="preserve">Haupt-DIN-Kostengruppe</w:t>
            </w:r>
          </w:p>
        </w:tc>
        <w:tc>
          <w:tcPr>
            <w:tcW w:w="1400" w:type="dxa"/>
            <w:shd w:val="clear" w:color="auto" w:fill="F1F5F9"/>
            <w:tcMar>
              <w:top w:w="120"/>
              <w:bottom w:w="120"/>
              <w:left w:w="140"/>
              <w:right w:w="140"/>
            </w:tcMar>
          </w:tcPr>
          <w:p>
            <w:pPr>
              <w:spacing w:after="0"/>
            </w:pPr>
            <w:r>
              <w:rPr>
                <w:rFonts w:ascii="Calibri" w:hAnsi="Calibri"/>
                <w:b/>
                <w:sz w:val="21"/>
                <w:color w:val="0F172A"/>
              </w:rPr>
              <w:t xml:space="preserve">Erfahrungswert in %</w:t>
            </w:r>
          </w:p>
        </w:tc>
      </w:tr>
      <w:tr>
        <w:tc>
          <w:tcPr>
            <w:tcW w:w="3000" w:type="dxa"/>
            <w:tcMar>
              <w:top w:w="120"/>
              <w:bottom w:w="120"/>
              <w:left w:w="140"/>
              <w:right w:w="140"/>
            </w:tcMar>
          </w:tcPr>
          <w:p>
            <w:pPr>
              <w:spacing w:after="0"/>
            </w:pPr>
            <w:r>
              <w:rPr>
                <w:rFonts w:ascii="Calibri" w:hAnsi="Calibri"/>
                <w:sz w:val="20"/>
                <w:color w:val="334155"/>
              </w:rPr>
              <w:t xml:space="preserve">Rohbauarbeiten (Stahlbeton, Mauerwerk)</w:t>
            </w:r>
          </w:p>
        </w:tc>
        <w:tc>
          <w:tcPr>
            <w:tcW w:w="1800" w:type="dxa"/>
            <w:tcMar>
              <w:top w:w="120"/>
              <w:bottom w:w="120"/>
              <w:left w:w="140"/>
              <w:right w:w="140"/>
            </w:tcMar>
          </w:tcPr>
          <w:p>
            <w:pPr>
              <w:spacing w:after="0"/>
            </w:pPr>
            <w:r>
              <w:rPr>
                <w:rFonts w:ascii="Calibri" w:hAnsi="Calibri"/>
                <w:sz w:val="20"/>
                <w:color w:val="334155"/>
              </w:rPr>
              <w:t xml:space="preserve">ATV DIN 18330 / 18331</w:t>
            </w:r>
          </w:p>
        </w:tc>
        <w:tc>
          <w:tcPr>
            <w:tcW w:w="3000" w:type="dxa"/>
            <w:tcMar>
              <w:top w:w="120"/>
              <w:bottom w:w="120"/>
              <w:left w:w="140"/>
              <w:right w:w="140"/>
            </w:tcMar>
          </w:tcPr>
          <w:p>
            <w:pPr>
              <w:spacing w:after="0"/>
            </w:pPr>
            <w:r>
              <w:rPr>
                <w:rFonts w:ascii="Calibri" w:hAnsi="Calibri"/>
                <w:sz w:val="20"/>
                <w:color w:val="334155"/>
              </w:rPr>
              <w:t xml:space="preserve">KG 330 Außenwände / KG 340 Innenwände</w:t>
            </w:r>
          </w:p>
        </w:tc>
        <w:tc>
          <w:tcPr>
            <w:tcW w:w="1400" w:type="dxa"/>
            <w:shd w:val="clear" w:color="auto" w:fill="F1F5F9"/>
            <w:tcMar>
              <w:top w:w="120"/>
              <w:bottom w:w="120"/>
              <w:left w:w="140"/>
              <w:right w:w="140"/>
            </w:tcMar>
          </w:tcPr>
          <w:p>
            <w:pPr>
              <w:spacing w:after="0"/>
            </w:pPr>
            <w:r>
              <w:rPr>
                <w:rFonts w:ascii="Calibri" w:hAnsi="Calibri"/>
                <w:b/>
                <w:sz w:val="21"/>
                <w:color w:val="0F172A"/>
              </w:rPr>
              <w:t xml:space="preserve">ca. 39,00 %</w:t>
            </w:r>
          </w:p>
        </w:tc>
      </w:tr>
      <w:tr>
        <w:tc>
          <w:tcPr>
            <w:tcW w:w="3000" w:type="dxa"/>
            <w:tcMar>
              <w:top w:w="120"/>
              <w:bottom w:w="120"/>
              <w:left w:w="140"/>
              <w:right w:w="140"/>
            </w:tcMar>
          </w:tcPr>
          <w:p>
            <w:pPr>
              <w:spacing w:after="0"/>
            </w:pPr>
            <w:r>
              <w:rPr>
                <w:rFonts w:ascii="Calibri" w:hAnsi="Calibri"/>
                <w:sz w:val="20"/>
                <w:color w:val="334155"/>
              </w:rPr>
              <w:t xml:space="preserve">Zimmerer- &amp; Holzbauarbeiten</w:t>
            </w:r>
          </w:p>
        </w:tc>
        <w:tc>
          <w:tcPr>
            <w:tcW w:w="1800" w:type="dxa"/>
            <w:tcMar>
              <w:top w:w="120"/>
              <w:bottom w:w="120"/>
              <w:left w:w="140"/>
              <w:right w:w="140"/>
            </w:tcMar>
          </w:tcPr>
          <w:p>
            <w:pPr>
              <w:spacing w:after="0"/>
            </w:pPr>
            <w:r>
              <w:rPr>
                <w:rFonts w:ascii="Calibri" w:hAnsi="Calibri"/>
                <w:sz w:val="20"/>
                <w:color w:val="334155"/>
              </w:rPr>
              <w:t xml:space="preserve">ATV DIN 18334</w:t>
            </w:r>
          </w:p>
        </w:tc>
        <w:tc>
          <w:tcPr>
            <w:tcW w:w="3000" w:type="dxa"/>
            <w:tcMar>
              <w:top w:w="120"/>
              <w:bottom w:w="120"/>
              <w:left w:w="140"/>
              <w:right w:w="140"/>
            </w:tcMar>
          </w:tcPr>
          <w:p>
            <w:pPr>
              <w:spacing w:after="0"/>
            </w:pPr>
            <w:r>
              <w:rPr>
                <w:rFonts w:ascii="Calibri" w:hAnsi="Calibri"/>
                <w:sz w:val="20"/>
                <w:color w:val="334155"/>
              </w:rPr>
              <w:t xml:space="preserve">KG 335 / KG 360 Dächer</w:t>
            </w:r>
          </w:p>
        </w:tc>
        <w:tc>
          <w:tcPr>
            <w:tcW w:w="1400" w:type="dxa"/>
            <w:tcMar>
              <w:top w:w="120"/>
              <w:bottom w:w="120"/>
              <w:left w:w="140"/>
              <w:right w:w="140"/>
            </w:tcMar>
          </w:tcPr>
          <w:p>
            <w:pPr>
              <w:spacing w:after="0"/>
            </w:pPr>
            <w:r>
              <w:rPr>
                <w:rFonts w:ascii="Calibri" w:hAnsi="Calibri"/>
                <w:sz w:val="20"/>
                <w:color w:val="334155"/>
              </w:rPr>
              <w:t xml:space="preserve">ca. 4,50 %</w:t>
            </w:r>
          </w:p>
        </w:tc>
      </w:tr>
      <w:tr>
        <w:tc>
          <w:tcPr>
            <w:tcW w:w="3000" w:type="dxa"/>
            <w:tcMar>
              <w:top w:w="120"/>
              <w:bottom w:w="120"/>
              <w:left w:w="140"/>
              <w:right w:w="140"/>
            </w:tcMar>
          </w:tcPr>
          <w:p>
            <w:pPr>
              <w:spacing w:after="0"/>
            </w:pPr>
            <w:r>
              <w:rPr>
                <w:rFonts w:ascii="Calibri" w:hAnsi="Calibri"/>
                <w:sz w:val="20"/>
                <w:color w:val="334155"/>
              </w:rPr>
              <w:t xml:space="preserve">Dachdeckungs- &amp; Abdichtungsarbeiten</w:t>
            </w:r>
          </w:p>
        </w:tc>
        <w:tc>
          <w:tcPr>
            <w:tcW w:w="1800" w:type="dxa"/>
            <w:tcMar>
              <w:top w:w="120"/>
              <w:bottom w:w="120"/>
              <w:left w:w="140"/>
              <w:right w:w="140"/>
            </w:tcMar>
          </w:tcPr>
          <w:p>
            <w:pPr>
              <w:spacing w:after="0"/>
            </w:pPr>
            <w:r>
              <w:rPr>
                <w:rFonts w:ascii="Calibri" w:hAnsi="Calibri"/>
                <w:sz w:val="20"/>
                <w:color w:val="334155"/>
              </w:rPr>
              <w:t xml:space="preserve">ATV DIN 18336 / 18338</w:t>
            </w:r>
          </w:p>
        </w:tc>
        <w:tc>
          <w:tcPr>
            <w:tcW w:w="3000" w:type="dxa"/>
            <w:tcMar>
              <w:top w:w="120"/>
              <w:bottom w:w="120"/>
              <w:left w:w="140"/>
              <w:right w:w="140"/>
            </w:tcMar>
          </w:tcPr>
          <w:p>
            <w:pPr>
              <w:spacing w:after="0"/>
            </w:pPr>
            <w:r>
              <w:rPr>
                <w:rFonts w:ascii="Calibri" w:hAnsi="Calibri"/>
                <w:sz w:val="20"/>
                <w:color w:val="334155"/>
              </w:rPr>
              <w:t xml:space="preserve">KG 360 Dächer</w:t>
            </w:r>
          </w:p>
        </w:tc>
        <w:tc>
          <w:tcPr>
            <w:tcW w:w="1400" w:type="dxa"/>
            <w:tcMar>
              <w:top w:w="120"/>
              <w:bottom w:w="120"/>
              <w:left w:w="140"/>
              <w:right w:w="140"/>
            </w:tcMar>
          </w:tcPr>
          <w:p>
            <w:pPr>
              <w:spacing w:after="0"/>
            </w:pPr>
            <w:r>
              <w:rPr>
                <w:rFonts w:ascii="Calibri" w:hAnsi="Calibri"/>
                <w:sz w:val="20"/>
                <w:color w:val="334155"/>
              </w:rPr>
              <w:t xml:space="preserve">ca. 4,20 %</w:t>
            </w:r>
          </w:p>
        </w:tc>
      </w:tr>
      <w:tr>
        <w:tc>
          <w:tcPr>
            <w:tcW w:w="3000" w:type="dxa"/>
            <w:tcMar>
              <w:top w:w="120"/>
              <w:bottom w:w="120"/>
              <w:left w:w="140"/>
              <w:right w:w="140"/>
            </w:tcMar>
          </w:tcPr>
          <w:p>
            <w:pPr>
              <w:spacing w:after="0"/>
            </w:pPr>
            <w:r>
              <w:rPr>
                <w:rFonts w:ascii="Calibri" w:hAnsi="Calibri"/>
                <w:sz w:val="20"/>
                <w:color w:val="334155"/>
              </w:rPr>
              <w:t xml:space="preserve">Fenster- &amp; Fassadenelemente</w:t>
            </w:r>
          </w:p>
        </w:tc>
        <w:tc>
          <w:tcPr>
            <w:tcW w:w="1800" w:type="dxa"/>
            <w:tcMar>
              <w:top w:w="120"/>
              <w:bottom w:w="120"/>
              <w:left w:w="140"/>
              <w:right w:w="140"/>
            </w:tcMar>
          </w:tcPr>
          <w:p>
            <w:pPr>
              <w:spacing w:after="0"/>
            </w:pPr>
            <w:r>
              <w:rPr>
                <w:rFonts w:ascii="Calibri" w:hAnsi="Calibri"/>
                <w:sz w:val="20"/>
                <w:color w:val="334155"/>
              </w:rPr>
              <w:t xml:space="preserve">ATV DIN 18355</w:t>
            </w:r>
          </w:p>
        </w:tc>
        <w:tc>
          <w:tcPr>
            <w:tcW w:w="3000" w:type="dxa"/>
            <w:tcMar>
              <w:top w:w="120"/>
              <w:bottom w:w="120"/>
              <w:left w:w="140"/>
              <w:right w:w="140"/>
            </w:tcMar>
          </w:tcPr>
          <w:p>
            <w:pPr>
              <w:spacing w:after="0"/>
            </w:pPr>
            <w:r>
              <w:rPr>
                <w:rFonts w:ascii="Calibri" w:hAnsi="Calibri"/>
                <w:sz w:val="20"/>
                <w:color w:val="334155"/>
              </w:rPr>
              <w:t xml:space="preserve">KG 334 Außentüren und -fenster</w:t>
            </w:r>
          </w:p>
        </w:tc>
        <w:tc>
          <w:tcPr>
            <w:tcW w:w="1400" w:type="dxa"/>
            <w:tcMar>
              <w:top w:w="120"/>
              <w:bottom w:w="120"/>
              <w:left w:w="140"/>
              <w:right w:w="140"/>
            </w:tcMar>
          </w:tcPr>
          <w:p>
            <w:pPr>
              <w:spacing w:after="0"/>
            </w:pPr>
            <w:r>
              <w:rPr>
                <w:rFonts w:ascii="Calibri" w:hAnsi="Calibri"/>
                <w:sz w:val="20"/>
                <w:color w:val="334155"/>
              </w:rPr>
              <w:t xml:space="preserve">ca. 6,80 %</w:t>
            </w:r>
          </w:p>
        </w:tc>
      </w:tr>
      <w:tr>
        <w:tc>
          <w:tcPr>
            <w:tcW w:w="3000" w:type="dxa"/>
            <w:tcMar>
              <w:top w:w="120"/>
              <w:bottom w:w="120"/>
              <w:left w:w="140"/>
              <w:right w:w="140"/>
            </w:tcMar>
          </w:tcPr>
          <w:p>
            <w:pPr>
              <w:spacing w:after="0"/>
            </w:pPr>
            <w:r>
              <w:rPr>
                <w:rFonts w:ascii="Calibri" w:hAnsi="Calibri"/>
                <w:sz w:val="20"/>
                <w:color w:val="334155"/>
              </w:rPr>
              <w:t xml:space="preserve">Außenputz- &amp; WDVS-Arbeiten</w:t>
            </w:r>
          </w:p>
        </w:tc>
        <w:tc>
          <w:tcPr>
            <w:tcW w:w="1800" w:type="dxa"/>
            <w:tcMar>
              <w:top w:w="120"/>
              <w:bottom w:w="120"/>
              <w:left w:w="140"/>
              <w:right w:w="140"/>
            </w:tcMar>
          </w:tcPr>
          <w:p>
            <w:pPr>
              <w:spacing w:after="0"/>
            </w:pPr>
            <w:r>
              <w:rPr>
                <w:rFonts w:ascii="Calibri" w:hAnsi="Calibri"/>
                <w:sz w:val="20"/>
                <w:color w:val="334155"/>
              </w:rPr>
              <w:t xml:space="preserve">ATV DIN 18350</w:t>
            </w:r>
          </w:p>
        </w:tc>
        <w:tc>
          <w:tcPr>
            <w:tcW w:w="3000" w:type="dxa"/>
            <w:tcMar>
              <w:top w:w="120"/>
              <w:bottom w:w="120"/>
              <w:left w:w="140"/>
              <w:right w:w="140"/>
            </w:tcMar>
          </w:tcPr>
          <w:p>
            <w:pPr>
              <w:spacing w:after="0"/>
            </w:pPr>
            <w:r>
              <w:rPr>
                <w:rFonts w:ascii="Calibri" w:hAnsi="Calibri"/>
                <w:sz w:val="20"/>
                <w:color w:val="334155"/>
              </w:rPr>
              <w:t xml:space="preserve">KG 335 Außenwandbekleidungen</w:t>
            </w:r>
          </w:p>
        </w:tc>
        <w:tc>
          <w:tcPr>
            <w:tcW w:w="1400" w:type="dxa"/>
            <w:tcMar>
              <w:top w:w="120"/>
              <w:bottom w:w="120"/>
              <w:left w:w="140"/>
              <w:right w:w="140"/>
            </w:tcMar>
          </w:tcPr>
          <w:p>
            <w:pPr>
              <w:spacing w:after="0"/>
            </w:pPr>
            <w:r>
              <w:rPr>
                <w:rFonts w:ascii="Calibri" w:hAnsi="Calibri"/>
                <w:sz w:val="20"/>
                <w:color w:val="334155"/>
              </w:rPr>
              <w:t xml:space="preserve">ca. 4,80 %</w:t>
            </w:r>
          </w:p>
        </w:tc>
      </w:tr>
      <w:tr>
        <w:tc>
          <w:tcPr>
            <w:tcW w:w="3000" w:type="dxa"/>
            <w:tcMar>
              <w:top w:w="120"/>
              <w:bottom w:w="120"/>
              <w:left w:w="140"/>
              <w:right w:w="140"/>
            </w:tcMar>
          </w:tcPr>
          <w:p>
            <w:pPr>
              <w:spacing w:after="0"/>
            </w:pPr>
            <w:r>
              <w:rPr>
                <w:rFonts w:ascii="Calibri" w:hAnsi="Calibri"/>
                <w:sz w:val="20"/>
                <w:color w:val="334155"/>
              </w:rPr>
              <w:t xml:space="preserve">Heizung &amp; zentrale Wassererwärmung</w:t>
            </w:r>
          </w:p>
        </w:tc>
        <w:tc>
          <w:tcPr>
            <w:tcW w:w="1800" w:type="dxa"/>
            <w:tcMar>
              <w:top w:w="120"/>
              <w:bottom w:w="120"/>
              <w:left w:w="140"/>
              <w:right w:w="140"/>
            </w:tcMar>
          </w:tcPr>
          <w:p>
            <w:pPr>
              <w:spacing w:after="0"/>
            </w:pPr>
            <w:r>
              <w:rPr>
                <w:rFonts w:ascii="Calibri" w:hAnsi="Calibri"/>
                <w:sz w:val="20"/>
                <w:color w:val="334155"/>
              </w:rPr>
              <w:t xml:space="preserve">ATV DIN 18380</w:t>
            </w:r>
          </w:p>
        </w:tc>
        <w:tc>
          <w:tcPr>
            <w:tcW w:w="3000" w:type="dxa"/>
            <w:tcMar>
              <w:top w:w="120"/>
              <w:bottom w:w="120"/>
              <w:left w:w="140"/>
              <w:right w:w="140"/>
            </w:tcMar>
          </w:tcPr>
          <w:p>
            <w:pPr>
              <w:spacing w:after="0"/>
            </w:pPr>
            <w:r>
              <w:rPr>
                <w:rFonts w:ascii="Calibri" w:hAnsi="Calibri"/>
                <w:sz w:val="20"/>
                <w:color w:val="334155"/>
              </w:rPr>
              <w:t xml:space="preserve">KG 420 Wärmeversorgungsanlagen</w:t>
            </w:r>
          </w:p>
        </w:tc>
        <w:tc>
          <w:tcPr>
            <w:tcW w:w="1400" w:type="dxa"/>
            <w:shd w:val="clear" w:color="auto" w:fill="F1F5F9"/>
            <w:tcMar>
              <w:top w:w="120"/>
              <w:bottom w:w="120"/>
              <w:left w:w="140"/>
              <w:right w:w="140"/>
            </w:tcMar>
          </w:tcPr>
          <w:p>
            <w:pPr>
              <w:spacing w:after="0"/>
            </w:pPr>
            <w:r>
              <w:rPr>
                <w:rFonts w:ascii="Calibri" w:hAnsi="Calibri"/>
                <w:b/>
                <w:sz w:val="21"/>
                <w:color w:val="0F172A"/>
              </w:rPr>
              <w:t xml:space="preserve">ca. 4,35 %</w:t>
            </w:r>
          </w:p>
        </w:tc>
      </w:tr>
      <w:tr>
        <w:tc>
          <w:tcPr>
            <w:tcW w:w="3000" w:type="dxa"/>
            <w:tcMar>
              <w:top w:w="120"/>
              <w:bottom w:w="120"/>
              <w:left w:w="140"/>
              <w:right w:w="140"/>
            </w:tcMar>
          </w:tcPr>
          <w:p>
            <w:pPr>
              <w:spacing w:after="0"/>
            </w:pPr>
            <w:r>
              <w:rPr>
                <w:rFonts w:ascii="Calibri" w:hAnsi="Calibri"/>
                <w:sz w:val="20"/>
                <w:color w:val="334155"/>
              </w:rPr>
              <w:t xml:space="preserve">Sanitär- &amp; Gasinstallationen</w:t>
            </w:r>
          </w:p>
        </w:tc>
        <w:tc>
          <w:tcPr>
            <w:tcW w:w="1800" w:type="dxa"/>
            <w:tcMar>
              <w:top w:w="120"/>
              <w:bottom w:w="120"/>
              <w:left w:w="140"/>
              <w:right w:w="140"/>
            </w:tcMar>
          </w:tcPr>
          <w:p>
            <w:pPr>
              <w:spacing w:after="0"/>
            </w:pPr>
            <w:r>
              <w:rPr>
                <w:rFonts w:ascii="Calibri" w:hAnsi="Calibri"/>
                <w:sz w:val="20"/>
                <w:color w:val="334155"/>
              </w:rPr>
              <w:t xml:space="preserve">ATV DIN 18381</w:t>
            </w:r>
          </w:p>
        </w:tc>
        <w:tc>
          <w:tcPr>
            <w:tcW w:w="3000" w:type="dxa"/>
            <w:tcMar>
              <w:top w:w="120"/>
              <w:bottom w:w="120"/>
              <w:left w:w="140"/>
              <w:right w:w="140"/>
            </w:tcMar>
          </w:tcPr>
          <w:p>
            <w:pPr>
              <w:spacing w:after="0"/>
            </w:pPr>
            <w:r>
              <w:rPr>
                <w:rFonts w:ascii="Calibri" w:hAnsi="Calibri"/>
                <w:sz w:val="20"/>
                <w:color w:val="334155"/>
              </w:rPr>
              <w:t xml:space="preserve">KG 410 Abwasser-, Wasseranlagen</w:t>
            </w:r>
          </w:p>
        </w:tc>
        <w:tc>
          <w:tcPr>
            <w:tcW w:w="1400" w:type="dxa"/>
            <w:tcMar>
              <w:top w:w="120"/>
              <w:bottom w:w="120"/>
              <w:left w:w="140"/>
              <w:right w:w="140"/>
            </w:tcMar>
          </w:tcPr>
          <w:p>
            <w:pPr>
              <w:spacing w:after="0"/>
            </w:pPr>
            <w:r>
              <w:rPr>
                <w:rFonts w:ascii="Calibri" w:hAnsi="Calibri"/>
                <w:sz w:val="20"/>
                <w:color w:val="334155"/>
              </w:rPr>
              <w:t xml:space="preserve">ca. 4,10 %</w:t>
            </w:r>
          </w:p>
        </w:tc>
      </w:tr>
      <w:tr>
        <w:tc>
          <w:tcPr>
            <w:tcW w:w="3000" w:type="dxa"/>
            <w:tcMar>
              <w:top w:w="120"/>
              <w:bottom w:w="120"/>
              <w:left w:w="140"/>
              <w:right w:w="140"/>
            </w:tcMar>
          </w:tcPr>
          <w:p>
            <w:pPr>
              <w:spacing w:after="0"/>
            </w:pPr>
            <w:r>
              <w:rPr>
                <w:rFonts w:ascii="Calibri" w:hAnsi="Calibri"/>
                <w:sz w:val="20"/>
                <w:color w:val="334155"/>
              </w:rPr>
              <w:t xml:space="preserve">Elektroinstallationen &amp; Beleuchtung</w:t>
            </w:r>
          </w:p>
        </w:tc>
        <w:tc>
          <w:tcPr>
            <w:tcW w:w="1800" w:type="dxa"/>
            <w:tcMar>
              <w:top w:w="120"/>
              <w:bottom w:w="120"/>
              <w:left w:w="140"/>
              <w:right w:w="140"/>
            </w:tcMar>
          </w:tcPr>
          <w:p>
            <w:pPr>
              <w:spacing w:after="0"/>
            </w:pPr>
            <w:r>
              <w:rPr>
                <w:rFonts w:ascii="Calibri" w:hAnsi="Calibri"/>
                <w:sz w:val="20"/>
                <w:color w:val="334155"/>
              </w:rPr>
              <w:t xml:space="preserve">ATV DIN 18382</w:t>
            </w:r>
          </w:p>
        </w:tc>
        <w:tc>
          <w:tcPr>
            <w:tcW w:w="3000" w:type="dxa"/>
            <w:tcMar>
              <w:top w:w="120"/>
              <w:bottom w:w="120"/>
              <w:left w:w="140"/>
              <w:right w:w="140"/>
            </w:tcMar>
          </w:tcPr>
          <w:p>
            <w:pPr>
              <w:spacing w:after="0"/>
            </w:pPr>
            <w:r>
              <w:rPr>
                <w:rFonts w:ascii="Calibri" w:hAnsi="Calibri"/>
                <w:sz w:val="20"/>
                <w:color w:val="334155"/>
              </w:rPr>
              <w:t xml:space="preserve">KG 440 Starkstromanlagen</w:t>
            </w:r>
          </w:p>
        </w:tc>
        <w:tc>
          <w:tcPr>
            <w:tcW w:w="1400" w:type="dxa"/>
            <w:tcMar>
              <w:top w:w="120"/>
              <w:bottom w:w="120"/>
              <w:left w:w="140"/>
              <w:right w:w="140"/>
            </w:tcMar>
          </w:tcPr>
          <w:p>
            <w:pPr>
              <w:spacing w:after="0"/>
            </w:pPr>
            <w:r>
              <w:rPr>
                <w:rFonts w:ascii="Calibri" w:hAnsi="Calibri"/>
                <w:sz w:val="20"/>
                <w:color w:val="334155"/>
              </w:rPr>
              <w:t xml:space="preserve">ca. 5,20 %</w:t>
            </w:r>
          </w:p>
        </w:tc>
      </w:tr>
      <w:tr>
        <w:tc>
          <w:tcPr>
            <w:tcW w:w="3000" w:type="dxa"/>
            <w:tcMar>
              <w:top w:w="120"/>
              <w:bottom w:w="120"/>
              <w:left w:w="140"/>
              <w:right w:w="140"/>
            </w:tcMar>
          </w:tcPr>
          <w:p>
            <w:pPr>
              <w:spacing w:after="0"/>
            </w:pPr>
            <w:r>
              <w:rPr>
                <w:rFonts w:ascii="Calibri" w:hAnsi="Calibri"/>
                <w:sz w:val="20"/>
                <w:color w:val="334155"/>
              </w:rPr>
              <w:t xml:space="preserve">Aufzugsanlage (Personenaufzug)</w:t>
            </w:r>
          </w:p>
        </w:tc>
        <w:tc>
          <w:tcPr>
            <w:tcW w:w="1800" w:type="dxa"/>
            <w:tcMar>
              <w:top w:w="120"/>
              <w:bottom w:w="120"/>
              <w:left w:w="140"/>
              <w:right w:w="140"/>
            </w:tcMar>
          </w:tcPr>
          <w:p>
            <w:pPr>
              <w:spacing w:after="0"/>
            </w:pPr>
            <w:r>
              <w:rPr>
                <w:rFonts w:ascii="Calibri" w:hAnsi="Calibri"/>
                <w:sz w:val="20"/>
                <w:color w:val="334155"/>
              </w:rPr>
              <w:t xml:space="preserve">ATV DIN 18385</w:t>
            </w:r>
          </w:p>
        </w:tc>
        <w:tc>
          <w:tcPr>
            <w:tcW w:w="3000" w:type="dxa"/>
            <w:tcMar>
              <w:top w:w="120"/>
              <w:bottom w:w="120"/>
              <w:left w:w="140"/>
              <w:right w:w="140"/>
            </w:tcMar>
          </w:tcPr>
          <w:p>
            <w:pPr>
              <w:spacing w:after="0"/>
            </w:pPr>
            <w:r>
              <w:rPr>
                <w:rFonts w:ascii="Calibri" w:hAnsi="Calibri"/>
                <w:sz w:val="20"/>
                <w:color w:val="334155"/>
              </w:rPr>
              <w:t xml:space="preserve">KG 460 Förderanlagen</w:t>
            </w:r>
          </w:p>
        </w:tc>
        <w:tc>
          <w:tcPr>
            <w:tcW w:w="1400" w:type="dxa"/>
            <w:tcMar>
              <w:top w:w="120"/>
              <w:bottom w:w="120"/>
              <w:left w:w="140"/>
              <w:right w:w="140"/>
            </w:tcMar>
          </w:tcPr>
          <w:p>
            <w:pPr>
              <w:spacing w:after="0"/>
            </w:pPr>
            <w:r>
              <w:rPr>
                <w:rFonts w:ascii="Calibri" w:hAnsi="Calibri"/>
                <w:sz w:val="20"/>
                <w:color w:val="334155"/>
              </w:rPr>
              <w:t xml:space="preserve">ca. 2,60 %</w:t>
            </w:r>
          </w:p>
        </w:tc>
      </w:tr>
      <w:tr>
        <w:tc>
          <w:tcPr>
            <w:tcW w:w="3000" w:type="dxa"/>
            <w:tcMar>
              <w:top w:w="120"/>
              <w:bottom w:w="120"/>
              <w:left w:w="140"/>
              <w:right w:w="140"/>
            </w:tcMar>
          </w:tcPr>
          <w:p>
            <w:pPr>
              <w:spacing w:after="0"/>
            </w:pPr>
            <w:r>
              <w:rPr>
                <w:rFonts w:ascii="Calibri" w:hAnsi="Calibri"/>
                <w:sz w:val="20"/>
                <w:color w:val="334155"/>
              </w:rPr>
              <w:t xml:space="preserve">Estrich-, Fliesen- &amp; Malerarbeiten</w:t>
            </w:r>
          </w:p>
        </w:tc>
        <w:tc>
          <w:tcPr>
            <w:tcW w:w="1800" w:type="dxa"/>
            <w:tcMar>
              <w:top w:w="120"/>
              <w:bottom w:w="120"/>
              <w:left w:w="140"/>
              <w:right w:w="140"/>
            </w:tcMar>
          </w:tcPr>
          <w:p>
            <w:pPr>
              <w:spacing w:after="0"/>
            </w:pPr>
            <w:r>
              <w:rPr>
                <w:rFonts w:ascii="Calibri" w:hAnsi="Calibri"/>
                <w:sz w:val="20"/>
                <w:color w:val="334155"/>
              </w:rPr>
              <w:t xml:space="preserve">ATV DIN 18352 / 18363</w:t>
            </w:r>
          </w:p>
        </w:tc>
        <w:tc>
          <w:tcPr>
            <w:tcW w:w="3000" w:type="dxa"/>
            <w:tcMar>
              <w:top w:w="120"/>
              <w:bottom w:w="120"/>
              <w:left w:w="140"/>
              <w:right w:w="140"/>
            </w:tcMar>
          </w:tcPr>
          <w:p>
            <w:pPr>
              <w:spacing w:after="0"/>
            </w:pPr>
            <w:r>
              <w:rPr>
                <w:rFonts w:ascii="Calibri" w:hAnsi="Calibri"/>
                <w:sz w:val="20"/>
                <w:color w:val="334155"/>
              </w:rPr>
              <w:t xml:space="preserve">KG 350 Innenwandbekleidungen / Beläge</w:t>
            </w:r>
          </w:p>
        </w:tc>
        <w:tc>
          <w:tcPr>
            <w:tcW w:w="1400" w:type="dxa"/>
            <w:tcMar>
              <w:top w:w="120"/>
              <w:bottom w:w="120"/>
              <w:left w:w="140"/>
              <w:right w:w="140"/>
            </w:tcMar>
          </w:tcPr>
          <w:p>
            <w:pPr>
              <w:spacing w:after="0"/>
            </w:pPr>
            <w:r>
              <w:rPr>
                <w:rFonts w:ascii="Calibri" w:hAnsi="Calibri"/>
                <w:sz w:val="20"/>
                <w:color w:val="334155"/>
              </w:rPr>
              <w:t xml:space="preserve">ca. 8,50 %</w:t>
            </w:r>
          </w:p>
        </w:tc>
      </w:tr>
      <w:tr>
        <w:tc>
          <w:tcPr>
            <w:tcW w:w="3000" w:type="dxa"/>
            <w:tcMar>
              <w:top w:w="120"/>
              <w:bottom w:w="120"/>
              <w:left w:w="140"/>
              <w:right w:w="140"/>
            </w:tcMar>
          </w:tcPr>
          <w:p>
            <w:pPr>
              <w:spacing w:after="0"/>
            </w:pPr>
            <w:r>
              <w:rPr>
                <w:rFonts w:ascii="Calibri" w:hAnsi="Calibri"/>
                <w:sz w:val="20"/>
                <w:color w:val="334155"/>
              </w:rPr>
              <w:t xml:space="preserve">Trockenbau &amp; Innentüren</w:t>
            </w:r>
          </w:p>
        </w:tc>
        <w:tc>
          <w:tcPr>
            <w:tcW w:w="1800" w:type="dxa"/>
            <w:tcMar>
              <w:top w:w="120"/>
              <w:bottom w:w="120"/>
              <w:left w:w="140"/>
              <w:right w:w="140"/>
            </w:tcMar>
          </w:tcPr>
          <w:p>
            <w:pPr>
              <w:spacing w:after="0"/>
            </w:pPr>
            <w:r>
              <w:rPr>
                <w:rFonts w:ascii="Calibri" w:hAnsi="Calibri"/>
                <w:sz w:val="20"/>
                <w:color w:val="334155"/>
              </w:rPr>
              <w:t xml:space="preserve">ATV DIN 18340 / 18355</w:t>
            </w:r>
          </w:p>
        </w:tc>
        <w:tc>
          <w:tcPr>
            <w:tcW w:w="3000" w:type="dxa"/>
            <w:tcMar>
              <w:top w:w="120"/>
              <w:bottom w:w="120"/>
              <w:left w:w="140"/>
              <w:right w:w="140"/>
            </w:tcMar>
          </w:tcPr>
          <w:p>
            <w:pPr>
              <w:spacing w:after="0"/>
            </w:pPr>
            <w:r>
              <w:rPr>
                <w:rFonts w:ascii="Calibri" w:hAnsi="Calibri"/>
                <w:sz w:val="20"/>
                <w:color w:val="334155"/>
              </w:rPr>
              <w:t xml:space="preserve">KG 340 Innenwände / KG 344 Innentüren</w:t>
            </w:r>
          </w:p>
        </w:tc>
        <w:tc>
          <w:tcPr>
            <w:tcW w:w="1400" w:type="dxa"/>
            <w:tcMar>
              <w:top w:w="120"/>
              <w:bottom w:w="120"/>
              <w:left w:w="140"/>
              <w:right w:w="140"/>
            </w:tcMar>
          </w:tcPr>
          <w:p>
            <w:pPr>
              <w:spacing w:after="0"/>
            </w:pPr>
            <w:r>
              <w:rPr>
                <w:rFonts w:ascii="Calibri" w:hAnsi="Calibri"/>
                <w:sz w:val="20"/>
                <w:color w:val="334155"/>
              </w:rPr>
              <w:t xml:space="preserve">ca. 5,95 %</w:t>
            </w:r>
          </w:p>
        </w:tc>
      </w:tr>
    </w:tbl>
    <w:p>
      <w:pPr>
        <w:spacing w:before="0" w:after="120" w:line="260" w:lineRule="auto"/>
      </w:pPr>
      <w:r>
        <w:rPr>
          <w:rFonts w:ascii="Calibri" w:hAnsi="Calibri"/>
          <w:color w:val="334155"/>
          <w:sz w:val="22"/>
        </w:rPr>
        <w:t xml:space="preserve"/>
      </w:r>
    </w:p>
    <w:p>
      <w:pPr>
        <w:spacing w:before="260" w:after="100" w:line="260" w:lineRule="auto"/>
      </w:pPr>
      <w:r>
        <w:rPr>
          <w:rFonts w:ascii="Calibri" w:hAnsi="Calibri"/>
          <w:b/>
          <w:color w:val="1E3A8A"/>
          <w:sz w:val="26"/>
        </w:rPr>
        <w:t xml:space="preserve">Das baupraktische n:m-Zuordnungsproblem</w:t>
      </w:r>
    </w:p>
    <w:p>
      <w:pPr>
        <w:spacing w:before="0" w:after="120" w:line="260" w:lineRule="auto"/>
      </w:pPr>
      <w:r>
        <w:rPr>
          <w:rFonts w:ascii="Calibri" w:hAnsi="Calibri"/>
          <w:color w:val="334155"/>
          <w:sz w:val="22"/>
        </w:rPr>
        <w:t xml:space="preserve">In der Praxis entspricht ein Gewerk selten exakt einer einzigen DIN-Kostengruppe. Ein anschauliches Beispiel ist der Einbau einer Innentür:</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Schreiner: </w:t>
      </w:r>
      <w:r>
        <w:rPr>
          <w:rFonts w:ascii="Calibri" w:hAnsi="Calibri"/>
          <w:sz w:val="21"/>
          <w:color w:val="334155"/>
        </w:rPr>
        <w:t xml:space="preserve">Die Zarge und das Türblatt werden durch den Schreiner geliefert und montiert (Kostengruppe 344).</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Gipser / Trockenbauer: </w:t>
      </w:r>
      <w:r>
        <w:rPr>
          <w:rFonts w:ascii="Calibri" w:hAnsi="Calibri"/>
          <w:sz w:val="21"/>
          <w:color w:val="334155"/>
        </w:rPr>
        <w:t xml:space="preserve">Die Wandöffnung wird im Trockenbau durch den Gipser hergestellt (Kostengruppe 341).</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Maler: </w:t>
      </w:r>
      <w:r>
        <w:rPr>
          <w:rFonts w:ascii="Calibri" w:hAnsi="Calibri"/>
          <w:sz w:val="21"/>
          <w:color w:val="334155"/>
        </w:rPr>
        <w:t xml:space="preserve">Die Türzarge erhält ihren bauseitigen Schlussanstrich durch den Maler (Kostengruppe 345).</w:t>
      </w:r>
    </w:p>
    <w:p>
      <w:pPr>
        <w:spacing w:before="0" w:after="120" w:line="260" w:lineRule="auto"/>
      </w:pPr>
      <w:r>
        <w:rPr>
          <w:rFonts w:ascii="Calibri" w:hAnsi="Calibri"/>
          <w:color w:val="334155"/>
          <w:sz w:val="22"/>
        </w:rPr>
        <w:t xml:space="preserve">Da die Vergabe an Handwerker nach Gewerken erfolgt, die Bank aber nach Kostengruppen abrechnet, muss das Baubuch jeden Rechnungsbetrag intern auf die zugehörigen Kostengruppen aufschlüsseln.</w:t>
      </w:r>
    </w:p>
    <w:p>
      <w:pPr>
        <w:spacing w:before="360" w:after="140" w:line="260" w:lineRule="auto"/>
      </w:pPr>
      <w:r>
        <w:rPr>
          <w:rFonts w:ascii="Calibri" w:hAnsi="Calibri"/>
          <w:b/>
          <w:color w:val="0F172A"/>
          <w:sz w:val="32"/>
        </w:rPr>
        <w:t xml:space="preserve">5. Phase 3: 50 Jahre AfA, Entropie &amp; Wirtschaftlichkeit</w:t>
      </w:r>
    </w:p>
    <w:p>
      <w:pPr>
        <w:spacing w:before="0" w:after="120" w:line="260" w:lineRule="auto"/>
      </w:pPr>
      <w:r>
        <w:rPr>
          <w:rFonts w:ascii="Calibri" w:hAnsi="Calibri"/>
          <w:color w:val="334155"/>
          <w:sz w:val="22"/>
        </w:rPr>
        <w:t xml:space="preserve">Wohnungsbauunternehmen unterliegen langfristigen Bewirtschaftungszyklen. Herr Götsch stellt in seiner Kalkulation die steuerliche Abschreibung der realen Bauwerksalterung gegenüber:</w:t>
      </w:r>
    </w:p>
    <w:p>
      <w:pPr>
        <w:spacing w:before="260" w:after="100" w:line="260" w:lineRule="auto"/>
      </w:pPr>
      <w:r>
        <w:rPr>
          <w:rFonts w:ascii="Calibri" w:hAnsi="Calibri"/>
          <w:b/>
          <w:color w:val="1E3A8A"/>
          <w:sz w:val="26"/>
        </w:rPr>
        <w:t xml:space="preserve">Steuerliche AfA vs. Gebäude-Entropiekurve</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Der fiskalische Ansatz: </w:t>
      </w:r>
      <w:r>
        <w:rPr>
          <w:rFonts w:ascii="Calibri" w:hAnsi="Calibri"/>
          <w:sz w:val="21"/>
          <w:color w:val="334155"/>
        </w:rPr>
        <w:t xml:space="preserve">Das Finanzamt rechnet gem. § 7 Abs. 4 EStG mit 2,0 % linearer Abschreibung pro Jahr. Nach 50 Jahren ist das Gebäude rechnerisch auf 0 Euro abgeschrieben.</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Die reale Entropie-Kurve: </w:t>
      </w:r>
      <w:r>
        <w:rPr>
          <w:rFonts w:ascii="Calibri" w:hAnsi="Calibri"/>
          <w:sz w:val="21"/>
          <w:color w:val="334155"/>
        </w:rPr>
        <w:t xml:space="preserve">Ein Gebäude verfällt physisch nicht linear. In den ersten 10 bis 15 Jahren fallen kaum Instandhaltungskosten an („wenig Entropie“). Ab Jahr 20 steigt die Kurve jedoch steil an: Heizungsanlagen müssen erneuert werden, Flachdächer werden undicht, Aufzugsanlagen und energetische Sanierungen fordern massive Reinvestitionen.</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Der Umkehrschluss der WOBAK: </w:t>
      </w:r>
      <w:r>
        <w:rPr>
          <w:rFonts w:ascii="Calibri" w:hAnsi="Calibri"/>
          <w:sz w:val="21"/>
          <w:color w:val="334155"/>
        </w:rPr>
        <w:t xml:space="preserve">Um den Gebäudewert dauerhaft zu sichern, muss der Eigentümer im 50-Jahre-Schnitt exakt die abgeschriebenen 2,0 % pro Jahr wieder in die Substanz investieren. Wer diese Rücklage nicht bildet, steuert in den Verfall.</w:t>
      </w:r>
    </w:p>
    <w:p>
      <w:pPr>
        <w:spacing w:before="260" w:after="100" w:line="260" w:lineRule="auto"/>
      </w:pPr>
      <w:r>
        <w:rPr>
          <w:rFonts w:ascii="Calibri" w:hAnsi="Calibri"/>
          <w:b/>
          <w:color w:val="1E3A8A"/>
          <w:sz w:val="26"/>
        </w:rPr>
        <w:t xml:space="preserve">Die WOBAK-Wirtschaftlichkeitsformel (Herr Götsch)</w:t>
      </w:r>
    </w:p>
    <w:p>
      <w:pPr>
        <w:spacing w:before="0" w:after="120" w:line="260" w:lineRule="auto"/>
      </w:pPr>
      <w:r>
        <w:rPr>
          <w:rFonts w:ascii="Calibri" w:hAnsi="Calibri"/>
          <w:color w:val="334155"/>
          <w:sz w:val="22"/>
        </w:rPr>
        <w:t xml:space="preserve">Um ein Projekt wirtschaftlich tragfähig zu betreiben, gilt für die WOBAK folgende Mindestrendite auf das investierte Gesamtkapital:</w:t>
      </w:r>
    </w:p>
    <w:tbl>
      <w:tblPr>
        <w:tblW w:w="9200" w:type="dxa"/>
        <w:tblBorders>
          <w:top w:val="single" w:sz="6" w:space="0" w:color="CBD5E1"/>
          <w:bottom w:val="single" w:sz="6" w:space="0" w:color="CBD5E1"/>
          <w:insideH w:val="single" w:sz="4" w:space="0" w:color="E2E8F0"/>
          <w:insideV w:val="none"/>
          <w:left w:val="none"/>
          <w:right w:val="none"/>
        </w:tblBorders>
      </w:tblPr>
      <w:tblGrid>
        <w:gridCol w:w="3200"/>
        <w:gridCol w:w="1800"/>
        <w:gridCol w:w="4200"/>
      </w:tblGrid>
      <w:tr>
        <w:tc>
          <w:tcPr>
            <w:tcW w:w="3200" w:type="dxa"/>
            <w:shd w:val="clear" w:color="auto" w:fill="F1F5F9"/>
            <w:tcMar>
              <w:top w:w="120"/>
              <w:bottom w:w="120"/>
              <w:left w:w="140"/>
              <w:right w:w="140"/>
            </w:tcMar>
          </w:tcPr>
          <w:p>
            <w:pPr>
              <w:spacing w:after="0"/>
            </w:pPr>
            <w:r>
              <w:rPr>
                <w:rFonts w:ascii="Calibri" w:hAnsi="Calibri"/>
                <w:b/>
                <w:sz w:val="21"/>
                <w:color w:val="0F172A"/>
              </w:rPr>
              <w:t xml:space="preserve">Kostenkomponente</w:t>
            </w:r>
          </w:p>
        </w:tc>
        <w:tc>
          <w:tcPr>
            <w:tcW w:w="1800" w:type="dxa"/>
            <w:shd w:val="clear" w:color="auto" w:fill="F1F5F9"/>
            <w:tcMar>
              <w:top w:w="120"/>
              <w:bottom w:w="120"/>
              <w:left w:w="140"/>
              <w:right w:w="140"/>
            </w:tcMar>
          </w:tcPr>
          <w:p>
            <w:pPr>
              <w:spacing w:after="0"/>
            </w:pPr>
            <w:r>
              <w:rPr>
                <w:rFonts w:ascii="Calibri" w:hAnsi="Calibri"/>
                <w:b/>
                <w:sz w:val="21"/>
                <w:color w:val="0F172A"/>
              </w:rPr>
              <w:t xml:space="preserve">Ansatz p.a.</w:t>
            </w:r>
          </w:p>
        </w:tc>
        <w:tc>
          <w:tcPr>
            <w:tcW w:w="4200" w:type="dxa"/>
            <w:shd w:val="clear" w:color="auto" w:fill="F1F5F9"/>
            <w:tcMar>
              <w:top w:w="120"/>
              <w:bottom w:w="120"/>
              <w:left w:w="140"/>
              <w:right w:w="140"/>
            </w:tcMar>
          </w:tcPr>
          <w:p>
            <w:pPr>
              <w:spacing w:after="0"/>
            </w:pPr>
            <w:r>
              <w:rPr>
                <w:rFonts w:ascii="Calibri" w:hAnsi="Calibri"/>
                <w:b/>
                <w:sz w:val="21"/>
                <w:color w:val="0F172A"/>
              </w:rPr>
              <w:t xml:space="preserve">Ökonomische Begründung</w:t>
            </w:r>
          </w:p>
        </w:tc>
      </w:tr>
      <w:tr>
        <w:tc>
          <w:tcPr>
            <w:tcW w:w="3200" w:type="dxa"/>
            <w:tcMar>
              <w:top w:w="120"/>
              <w:bottom w:w="120"/>
              <w:left w:w="140"/>
              <w:right w:w="140"/>
            </w:tcMar>
          </w:tcPr>
          <w:p>
            <w:pPr>
              <w:spacing w:after="0"/>
            </w:pPr>
            <w:r>
              <w:rPr>
                <w:rFonts w:ascii="Calibri" w:hAnsi="Calibri"/>
                <w:sz w:val="20"/>
                <w:color w:val="334155"/>
              </w:rPr>
              <w:t xml:space="preserve">Reale Substanzerhaltung / AfA-Rücklage</w:t>
            </w:r>
          </w:p>
        </w:tc>
        <w:tc>
          <w:tcPr>
            <w:tcW w:w="1800" w:type="dxa"/>
            <w:shd w:val="clear" w:color="auto" w:fill="F1F5F9"/>
            <w:tcMar>
              <w:top w:w="120"/>
              <w:bottom w:w="120"/>
              <w:left w:w="140"/>
              <w:right w:w="140"/>
            </w:tcMar>
          </w:tcPr>
          <w:p>
            <w:pPr>
              <w:spacing w:after="0"/>
            </w:pPr>
            <w:r>
              <w:rPr>
                <w:rFonts w:ascii="Calibri" w:hAnsi="Calibri"/>
                <w:b/>
                <w:sz w:val="21"/>
                <w:color w:val="0F172A"/>
              </w:rPr>
              <w:t xml:space="preserve">2,00 %</w:t>
            </w:r>
          </w:p>
        </w:tc>
        <w:tc>
          <w:tcPr>
            <w:tcW w:w="4200" w:type="dxa"/>
            <w:tcMar>
              <w:top w:w="120"/>
              <w:bottom w:w="120"/>
              <w:left w:w="140"/>
              <w:right w:w="140"/>
            </w:tcMar>
          </w:tcPr>
          <w:p>
            <w:pPr>
              <w:spacing w:after="0"/>
            </w:pPr>
            <w:r>
              <w:rPr>
                <w:rFonts w:ascii="Calibri" w:hAnsi="Calibri"/>
                <w:sz w:val="20"/>
                <w:color w:val="334155"/>
              </w:rPr>
              <w:t xml:space="preserve">Gegensteuern gegen den physischen Gebäudezerfall (Entropie)</w:t>
            </w:r>
          </w:p>
        </w:tc>
      </w:tr>
      <w:tr>
        <w:tc>
          <w:tcPr>
            <w:tcW w:w="3200" w:type="dxa"/>
            <w:tcMar>
              <w:top w:w="120"/>
              <w:bottom w:w="120"/>
              <w:left w:w="140"/>
              <w:right w:w="140"/>
            </w:tcMar>
          </w:tcPr>
          <w:p>
            <w:pPr>
              <w:spacing w:after="0"/>
            </w:pPr>
            <w:r>
              <w:rPr>
                <w:rFonts w:ascii="Calibri" w:hAnsi="Calibri"/>
                <w:sz w:val="20"/>
                <w:color w:val="334155"/>
              </w:rPr>
              <w:t xml:space="preserve">Verwaltungskosten &amp; Mietausfallwagnis</w:t>
            </w:r>
          </w:p>
        </w:tc>
        <w:tc>
          <w:tcPr>
            <w:tcW w:w="1800" w:type="dxa"/>
            <w:shd w:val="clear" w:color="auto" w:fill="F1F5F9"/>
            <w:tcMar>
              <w:top w:w="120"/>
              <w:bottom w:w="120"/>
              <w:left w:w="140"/>
              <w:right w:w="140"/>
            </w:tcMar>
          </w:tcPr>
          <w:p>
            <w:pPr>
              <w:spacing w:after="0"/>
            </w:pPr>
            <w:r>
              <w:rPr>
                <w:rFonts w:ascii="Calibri" w:hAnsi="Calibri"/>
                <w:b/>
                <w:sz w:val="21"/>
                <w:color w:val="0F172A"/>
              </w:rPr>
              <w:t xml:space="preserve">1,00 %</w:t>
            </w:r>
          </w:p>
        </w:tc>
        <w:tc>
          <w:tcPr>
            <w:tcW w:w="4200" w:type="dxa"/>
            <w:tcMar>
              <w:top w:w="120"/>
              <w:bottom w:w="120"/>
              <w:left w:w="140"/>
              <w:right w:w="140"/>
            </w:tcMar>
          </w:tcPr>
          <w:p>
            <w:pPr>
              <w:spacing w:after="0"/>
            </w:pPr>
            <w:r>
              <w:rPr>
                <w:rFonts w:ascii="Calibri" w:hAnsi="Calibri"/>
                <w:sz w:val="20"/>
                <w:color w:val="334155"/>
              </w:rPr>
              <w:t xml:space="preserve">Laufendes Bestandsmanagement, Mieterbetreuung, Mietausfall</w:t>
            </w:r>
          </w:p>
        </w:tc>
      </w:tr>
      <w:tr>
        <w:tc>
          <w:tcPr>
            <w:tcW w:w="3200" w:type="dxa"/>
            <w:tcMar>
              <w:top w:w="120"/>
              <w:bottom w:w="120"/>
              <w:left w:w="140"/>
              <w:right w:w="140"/>
            </w:tcMar>
          </w:tcPr>
          <w:p>
            <w:pPr>
              <w:spacing w:after="0"/>
            </w:pPr>
            <w:r>
              <w:rPr>
                <w:rFonts w:ascii="Calibri" w:hAnsi="Calibri"/>
                <w:sz w:val="20"/>
                <w:color w:val="334155"/>
              </w:rPr>
              <w:t xml:space="preserve">Kapitaldienst / Fremdkapitalzinsen</w:t>
            </w:r>
          </w:p>
        </w:tc>
        <w:tc>
          <w:tcPr>
            <w:tcW w:w="1800" w:type="dxa"/>
            <w:shd w:val="clear" w:color="auto" w:fill="F1F5F9"/>
            <w:tcMar>
              <w:top w:w="120"/>
              <w:bottom w:w="120"/>
              <w:left w:w="140"/>
              <w:right w:w="140"/>
            </w:tcMar>
          </w:tcPr>
          <w:p>
            <w:pPr>
              <w:spacing w:after="0"/>
            </w:pPr>
            <w:r>
              <w:rPr>
                <w:rFonts w:ascii="Calibri" w:hAnsi="Calibri"/>
                <w:b/>
                <w:sz w:val="21"/>
                <w:color w:val="0F172A"/>
              </w:rPr>
              <w:t xml:space="preserve">2,00 %</w:t>
            </w:r>
          </w:p>
        </w:tc>
        <w:tc>
          <w:tcPr>
            <w:tcW w:w="4200" w:type="dxa"/>
            <w:tcMar>
              <w:top w:w="120"/>
              <w:bottom w:w="120"/>
              <w:left w:w="140"/>
              <w:right w:w="140"/>
            </w:tcMar>
          </w:tcPr>
          <w:p>
            <w:pPr>
              <w:spacing w:after="0"/>
            </w:pPr>
            <w:r>
              <w:rPr>
                <w:rFonts w:ascii="Calibri" w:hAnsi="Calibri"/>
                <w:sz w:val="20"/>
                <w:color w:val="334155"/>
              </w:rPr>
              <w:t xml:space="preserve">Mindestzinslast der Bankkredite zur Projektfinanzierung</w:t>
            </w:r>
          </w:p>
        </w:tc>
      </w:tr>
      <w:tr>
        <w:tc>
          <w:tcPr>
            <w:tcW w:w="3200" w:type="dxa"/>
            <w:shd w:val="clear" w:color="auto" w:fill="F1F5F9"/>
            <w:tcMar>
              <w:top w:w="120"/>
              <w:bottom w:w="120"/>
              <w:left w:w="140"/>
              <w:right w:w="140"/>
            </w:tcMar>
          </w:tcPr>
          <w:p>
            <w:pPr>
              <w:spacing w:after="0"/>
            </w:pPr>
            <w:r>
              <w:rPr>
                <w:rFonts w:ascii="Calibri" w:hAnsi="Calibri"/>
                <w:b/>
                <w:sz w:val="21"/>
                <w:color w:val="0F172A"/>
              </w:rPr>
              <w:t xml:space="preserve">MINDESTVERZINSUNG / RENDITE</w:t>
            </w:r>
          </w:p>
        </w:tc>
        <w:tc>
          <w:tcPr>
            <w:tcW w:w="1800" w:type="dxa"/>
            <w:shd w:val="clear" w:color="auto" w:fill="F1F5F9"/>
            <w:tcMar>
              <w:top w:w="120"/>
              <w:bottom w:w="120"/>
              <w:left w:w="140"/>
              <w:right w:w="140"/>
            </w:tcMar>
          </w:tcPr>
          <w:p>
            <w:pPr>
              <w:spacing w:after="0"/>
            </w:pPr>
            <w:r>
              <w:rPr>
                <w:rFonts w:ascii="Calibri" w:hAnsi="Calibri"/>
                <w:b/>
                <w:sz w:val="21"/>
                <w:color w:val="0F172A"/>
              </w:rPr>
              <w:t xml:space="preserve">5,00 % p.a.</w:t>
            </w:r>
          </w:p>
        </w:tc>
        <w:tc>
          <w:tcPr>
            <w:tcW w:w="4200" w:type="dxa"/>
            <w:shd w:val="clear" w:color="auto" w:fill="F1F5F9"/>
            <w:tcMar>
              <w:top w:w="120"/>
              <w:bottom w:w="120"/>
              <w:left w:w="140"/>
              <w:right w:w="140"/>
            </w:tcMar>
          </w:tcPr>
          <w:p>
            <w:pPr>
              <w:spacing w:after="0"/>
            </w:pPr>
            <w:r>
              <w:rPr>
                <w:rFonts w:ascii="Calibri" w:hAnsi="Calibri"/>
                <w:b/>
                <w:sz w:val="21"/>
                <w:color w:val="0F172A"/>
              </w:rPr>
              <w:t xml:space="preserve">Absolute Mindestrendite zur langfristigen Unternehmenssicherung</w:t>
            </w:r>
          </w:p>
        </w:tc>
      </w:tr>
    </w:tbl>
    <w:p>
      <w:pPr>
        <w:spacing w:before="0" w:after="120" w:line="260" w:lineRule="auto"/>
      </w:pPr>
      <w:r>
        <w:rPr>
          <w:rFonts w:ascii="Calibri" w:hAnsi="Calibri"/>
          <w:color w:val="334155"/>
          <w:sz w:val="22"/>
        </w:rPr>
        <w:t xml:space="preserve"/>
      </w:r>
    </w:p>
    <w:tbl>
      <w:tblPr>
        <w:tblW w:w="9200" w:type="dxa"/>
        <w:tblBorders>
          <w:top w:val="none"/>
          <w:left w:val="single" w:sz="24" w:space="0" w:color="B45309"/>
          <w:bottom w:val="none"/>
          <w:right w:val="none"/>
        </w:tblBorders>
      </w:tblPr>
      <w:tr>
        <w:tc>
          <w:tcPr>
            <w:tcW w:w="9200" w:type="dxa"/>
            <w:shd w:val="clear" w:color="auto" w:fill="FEF3C7"/>
            <w:tcMar>
              <w:top w:w="160"/>
              <w:bottom w:w="160"/>
              <w:left w:w="200"/>
              <w:right w:w="200"/>
            </w:tcMar>
          </w:tcPr>
          <w:p>
            <w:pPr>
              <w:spacing w:before="0" w:after="60" w:line="260" w:lineRule="auto"/>
            </w:pPr>
            <w:r>
              <w:rPr>
                <w:rFonts w:ascii="Calibri" w:hAnsi="Calibri"/>
                <w:b/>
                <w:color w:val="B45309"/>
                <w:sz w:val="21"/>
              </w:rPr>
              <w:t xml:space="preserve">Herleitung des Soll-Mietansatzes (ca. 20 €/m² Kaltmiete)</w:t>
            </w:r>
          </w:p>
          <w:p>
            <w:pPr>
              <w:spacing w:before="0" w:after="0" w:line="260" w:lineRule="auto"/>
            </w:pPr>
            <w:r>
              <w:rPr>
                <w:rFonts w:ascii="Calibri" w:hAnsi="Calibri"/>
                <w:color w:val="334155"/>
                <w:sz w:val="20"/>
              </w:rPr>
              <w:t xml:space="preserve">Aus den Gesamterstellungskosten dividiert durch die vermietbare Wohnfläche und unter Berücksichtigung der 5,0 % Mindestverzinsung leitet Herr Götsch die erforderliche Zielmiete her. Um für künftige Sanierungsschübe (Heizungstausch nach 20 Jahren, energetische Verschärfungen) gewappnet zu sein, wird der Mietansatz mit einem Puffer kalkuliert (z. B. 20,20 €/m²).</w:t>
            </w:r>
            <w:r>
              <w:br/>
            </w:r>
            <w:r>
              <w:rPr>
                <w:rFonts w:ascii="Calibri" w:hAnsi="Calibri"/>
                <w:color w:val="334155"/>
                <w:sz w:val="20"/>
              </w:rPr>
              <w:t xml:space="preserve"/>
            </w:r>
            <w:r>
              <w:br/>
            </w:r>
            <w:r>
              <w:rPr>
                <w:rFonts w:ascii="Calibri" w:hAnsi="Calibri"/>
                <w:color w:val="334155"/>
                <w:sz w:val="20"/>
              </w:rPr>
              <w:t xml:space="preserve">Fördermittel-Hebel (KfW 40 QNG / EH 40):</w:t>
            </w:r>
            <w:r>
              <w:br/>
            </w:r>
            <w:r>
              <w:rPr>
                <w:rFonts w:ascii="Calibri" w:hAnsi="Calibri"/>
                <w:color w:val="334155"/>
                <w:sz w:val="20"/>
              </w:rPr>
              <w:t xml:space="preserve">Erfüllt das Gebäude höchste Effizienzhaus-Standards (max. 40 % des Referenz-Primärenergiebedarfs, Nachhaltigkeitssiegel QNG), steuert der Bund über Tilgungszuschüsse und zinsverbilligte Kredite bis zu 50 % Förderwirkung bei. Dies halbiert den effektiven Kapitaldienst und ermöglicht bezahlbare Mieten.</w:t>
            </w:r>
          </w:p>
        </w:tc>
      </w:tr>
    </w:tbl>
    <w:p>
      <w:pPr>
        <w:spacing w:before="360" w:after="140" w:line="260" w:lineRule="auto"/>
      </w:pPr>
      <w:r>
        <w:rPr>
          <w:rFonts w:ascii="Calibri" w:hAnsi="Calibri"/>
          <w:b/>
          <w:color w:val="0F172A"/>
          <w:sz w:val="32"/>
        </w:rPr>
        <w:t xml:space="preserve">6. Phase 4: Vergabeverfahren, Submission &amp; VOB-Vertrag</w:t>
      </w:r>
    </w:p>
    <w:p>
      <w:pPr>
        <w:spacing w:before="0" w:after="120" w:line="260" w:lineRule="auto"/>
      </w:pPr>
      <w:r>
        <w:rPr>
          <w:rFonts w:ascii="Calibri" w:hAnsi="Calibri"/>
          <w:color w:val="334155"/>
          <w:sz w:val="22"/>
        </w:rPr>
        <w:t xml:space="preserve">Als kommunales Wohnungsunternehmen kann die WOBAK Handwerkerleistungen nicht freihändig vergeben. Es gilt das strikte Regelwerk der VOB/A.</w:t>
      </w:r>
    </w:p>
    <w:p>
      <w:pPr>
        <w:spacing w:before="260" w:after="100" w:line="260" w:lineRule="auto"/>
      </w:pPr>
      <w:r>
        <w:rPr>
          <w:rFonts w:ascii="Calibri" w:hAnsi="Calibri"/>
          <w:b/>
          <w:color w:val="1E3A8A"/>
          <w:sz w:val="26"/>
        </w:rPr>
        <w:t xml:space="preserve">Schritt 1: Ausschreibung &amp; Schutzgebühr-Kasse</w:t>
      </w:r>
    </w:p>
    <w:p>
      <w:pPr>
        <w:spacing w:before="0" w:after="120" w:line="260" w:lineRule="auto"/>
      </w:pPr>
      <w:r>
        <w:rPr>
          <w:rFonts w:ascii="Calibri" w:hAnsi="Calibri"/>
          <w:color w:val="334155"/>
          <w:sz w:val="22"/>
        </w:rPr>
        <w:t xml:space="preserve">Für jedes Gewerk wird eine detaillierte Leistungsbeschreibung mit Leistungsverzeichnis (LV) erstellt. Die Vergabeunterlagen werden öffentlich oder beschränkt ausgegeben. Vor Aushändigung der Unterlagen wird von jedem Bieter eine Schutzgebühr nach § 20 Nr. 1 VOB/A (z. B. 18,00 € in bar) erhoben, die in der Schutzgebühr-Kasse quittiert und im Baubuch dokumentiert wird.</w:t>
      </w:r>
    </w:p>
    <w:p>
      <w:pPr>
        <w:spacing w:before="260" w:after="100" w:line="260" w:lineRule="auto"/>
      </w:pPr>
      <w:r>
        <w:rPr>
          <w:rFonts w:ascii="Calibri" w:hAnsi="Calibri"/>
          <w:b/>
          <w:color w:val="1E3A8A"/>
          <w:sz w:val="26"/>
        </w:rPr>
        <w:t xml:space="preserve">Schritt 2: Submission &amp; Preisspiegel (Herr Giro &amp; Herr Fast)</w:t>
      </w:r>
    </w:p>
    <w:p>
      <w:pPr>
        <w:spacing w:before="0" w:after="120" w:line="260" w:lineRule="auto"/>
      </w:pPr>
      <w:r>
        <w:rPr>
          <w:rFonts w:ascii="Calibri" w:hAnsi="Calibri"/>
          <w:color w:val="334155"/>
          <w:sz w:val="22"/>
        </w:rPr>
        <w:t xml:space="preserve">Am Submissionstag findet die formelle Angebotseröffnung im Beisein der Verhandlungsleitung (Herr Giro) und der Protokollführung (Herr Fast) statt. Kein Angebot darf vor dem Termin geöffnet werden. Nach Verlesung der Angebotssummen werden alle Bieter rechnerisch und fachtechnisch geprüft (Nachlässe, Skontoversprechen, Vollständigkeit). Das Ergebnis ist der Preisspiegel (N-Listing), der die Rangfolge transparent ausweist.</w:t>
      </w:r>
    </w:p>
    <w:p>
      <w:pPr>
        <w:spacing w:before="260" w:after="100" w:line="260" w:lineRule="auto"/>
      </w:pPr>
      <w:r>
        <w:rPr>
          <w:rFonts w:ascii="Calibri" w:hAnsi="Calibri"/>
          <w:b/>
          <w:color w:val="1E3A8A"/>
          <w:sz w:val="26"/>
        </w:rPr>
        <w:t xml:space="preserve">Schritt 3: Zuschlag &amp; Absageschreiben</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Zuschlagserteilung: </w:t>
      </w:r>
      <w:r>
        <w:rPr>
          <w:rFonts w:ascii="Calibri" w:hAnsi="Calibri"/>
          <w:sz w:val="21"/>
          <w:color w:val="334155"/>
        </w:rPr>
        <w:t xml:space="preserve">Der Bieter auf Rang 1 mit dem wirtschaftlichsten Angebot erhält den Zuschlag.</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Bieterinformation / Absage: </w:t>
      </w:r>
      <w:r>
        <w:rPr>
          <w:rFonts w:ascii="Calibri" w:hAnsi="Calibri"/>
          <w:sz w:val="21"/>
          <w:color w:val="334155"/>
        </w:rPr>
        <w:t xml:space="preserve">Allen unterlegenen Bietern muss gem. § 19 VOB/A ein formelles Absageschreiben mit Angabe des Vergabegrundes zugestellt werden.</w:t>
      </w:r>
    </w:p>
    <w:p>
      <w:pPr>
        <w:spacing w:before="260" w:after="100" w:line="260" w:lineRule="auto"/>
      </w:pPr>
      <w:r>
        <w:rPr>
          <w:rFonts w:ascii="Calibri" w:hAnsi="Calibri"/>
          <w:b/>
          <w:color w:val="1E3A8A"/>
          <w:sz w:val="26"/>
        </w:rPr>
        <w:t xml:space="preserve">Schritt 4: Der VOB-Bauwerkvertrag &amp; die Obligo-Buchung</w:t>
      </w:r>
    </w:p>
    <w:p>
      <w:pPr>
        <w:spacing w:before="0" w:after="120" w:line="260" w:lineRule="auto"/>
      </w:pPr>
      <w:r>
        <w:rPr>
          <w:rFonts w:ascii="Calibri" w:hAnsi="Calibri"/>
          <w:color w:val="334155"/>
          <w:sz w:val="22"/>
        </w:rPr>
        <w:t xml:space="preserve">Mit dem Gewinner wird der formelle VOB-Bauwerkvertrag geschlossen. Dieser enthält zentrale Klauseln der WOBAK:</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1. Obligo-Sperre: </w:t>
      </w:r>
      <w:r>
        <w:rPr>
          <w:rFonts w:ascii="Calibri" w:hAnsi="Calibri"/>
          <w:sz w:val="21"/>
          <w:color w:val="334155"/>
        </w:rPr>
        <w:t xml:space="preserve">Die Brutto-Vertragssumme wird im Moment der Vertragsunterzeichnung sofort im System als OBLIGO blockiert. Ein Zahlungsfluss ist ohne hinterlegtes Obligo technisch und prozessual gesperrt.</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2. Vertragliche Umlagen (Ziffer 8): </w:t>
      </w:r>
      <w:r>
        <w:rPr>
          <w:rFonts w:ascii="Calibri" w:hAnsi="Calibri"/>
          <w:sz w:val="21"/>
          <w:color w:val="334155"/>
        </w:rPr>
        <w:t xml:space="preserve">Auf das Rechnungsbrutto werden standardmäßig 7,5 ‰ vertragliche Abzüge einbehalten: Baustrom (3 ‰), Bauwasser (2 ‰) und Bauwesenversicherung (2,5 ‰; Selbstbeteiligung 500 € je Schadensfall).</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3. Mängelsicherheiten (Ziffer 9): </w:t>
      </w:r>
      <w:r>
        <w:rPr>
          <w:rFonts w:ascii="Calibri" w:hAnsi="Calibri"/>
          <w:sz w:val="21"/>
          <w:color w:val="334155"/>
        </w:rPr>
        <w:t xml:space="preserve">Die Verjährungsfrist für Mängelansprüche beträgt 5 Jahre gem. § 13 VOB/B. Als Mängelsicherheit behält die WOBAK 3 % bis 5 % der Schlussrechnungssumme ein. Der Handwerker kann diesen Bareinbehalt durch eine selbstschuldnerische Bankbürgschaft (kommunales Muster KEV 311 Sich 2) ablösen.</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4. Fachbauleitererklärung (§ 45 LBO): </w:t>
      </w:r>
      <w:r>
        <w:rPr>
          <w:rFonts w:ascii="Calibri" w:hAnsi="Calibri"/>
          <w:sz w:val="21"/>
          <w:color w:val="334155"/>
        </w:rPr>
        <w:t xml:space="preserve">Nach § 45 LBO Baden-Württemberg muss der Auftragnehmer vor Ausführungsbeginn die rechtsverbindliche Fachbauleitererklärung einreichen.</w:t>
      </w:r>
    </w:p>
    <w:p>
      <w:pPr>
        <w:spacing w:before="260" w:after="100" w:line="260" w:lineRule="auto"/>
      </w:pPr>
      <w:r>
        <w:rPr>
          <w:rFonts w:ascii="Calibri" w:hAnsi="Calibri"/>
          <w:b/>
          <w:color w:val="1E3A8A"/>
          <w:sz w:val="26"/>
        </w:rPr>
        <w:t xml:space="preserve">Exkurs: Generalunternehmer (GU) vs. Einzelvergabe</w:t>
      </w:r>
    </w:p>
    <w:p>
      <w:pPr>
        <w:spacing w:before="0" w:after="120" w:line="260" w:lineRule="auto"/>
      </w:pPr>
      <w:r>
        <w:rPr>
          <w:rFonts w:ascii="Calibri" w:hAnsi="Calibri"/>
          <w:color w:val="334155"/>
          <w:sz w:val="22"/>
        </w:rPr>
        <w:t xml:space="preserve">Die WOBAK steht bei jedem Projekt vor der Grundsatzentscheidung: Vergabe an einen Generalunternehmer (GU) oder Einzelvergabe an Handwerker:</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Generalunternehmer (GU): </w:t>
      </w:r>
      <w:r>
        <w:rPr>
          <w:rFonts w:ascii="Calibri" w:hAnsi="Calibri"/>
          <w:sz w:val="21"/>
          <w:color w:val="334155"/>
        </w:rPr>
        <w:t xml:space="preserve">Der GU garantiert einen schlüsselfertigen Festpreis und übernimmt die gesamte Gewerke-Koordination. Dafür verlangt er ca. 13 % GU-Zuschlag. Im Gegenzug sinken die eigenen Baunebenkosten der WOBAK von 17–18 % auf 5–7 %, da Fachingenieurleistungen (z. B. Statik) im GU-Paket enthalten sind. Risiko für Kostenüberschreitungen liegt beim GU.</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Einzelvergabe (WOBAK als Steuerer): </w:t>
      </w:r>
      <w:r>
        <w:rPr>
          <w:rFonts w:ascii="Calibri" w:hAnsi="Calibri"/>
          <w:sz w:val="21"/>
          <w:color w:val="334155"/>
        </w:rPr>
        <w:t xml:space="preserve">Bietet der Markt keinen bezahlbaren GU an oder handelt es sich um kleinere Vorhaben, muss die WOBAK selbst als GU agieren. Das bedeutet: Bis zu 30 Einzelgewerke müssen eigenhändig ausgeschrieben, koordiniert und überwacht werden. Hier ist das Baubuch unverzichtbar, um die Nachweispflicht zu erfüllen und das Kostenrisiko zu beherrschen.</w:t>
      </w:r>
    </w:p>
    <w:p>
      <w:pPr>
        <w:spacing w:before="360" w:after="140" w:line="260" w:lineRule="auto"/>
      </w:pPr>
      <w:r>
        <w:rPr>
          <w:rFonts w:ascii="Calibri" w:hAnsi="Calibri"/>
          <w:b/>
          <w:color w:val="0F172A"/>
          <w:sz w:val="32"/>
        </w:rPr>
        <w:t xml:space="preserve">7. Phase 5: Kontinuierliches Baucontrolling &amp; Forecast</w:t>
      </w:r>
    </w:p>
    <w:p>
      <w:pPr>
        <w:spacing w:before="0" w:after="120" w:line="260" w:lineRule="auto"/>
      </w:pPr>
      <w:r>
        <w:rPr>
          <w:rFonts w:ascii="Calibri" w:hAnsi="Calibri"/>
          <w:color w:val="334155"/>
          <w:sz w:val="22"/>
        </w:rPr>
        <w:t xml:space="preserve">„Was uns interessiert, ist der Soll-Ist-Vergleich – wir müssen mittendrin berechnen, weil Kosten aus dem Ruder laufen können!“ (Aussage Bauleitung). Schätzkosten sind keine echten Kosten. Deshalb sind während der Bauzeit verbindlich 3 bis 4 Kostenschnitte vorgeschrieben.</w:t>
      </w:r>
    </w:p>
    <w:p>
      <w:pPr>
        <w:spacing w:before="260" w:after="100" w:line="260" w:lineRule="auto"/>
      </w:pPr>
      <w:r>
        <w:rPr>
          <w:rFonts w:ascii="Calibri" w:hAnsi="Calibri"/>
          <w:b/>
          <w:color w:val="1E3A8A"/>
          <w:sz w:val="26"/>
        </w:rPr>
        <w:t xml:space="preserve">Der Unschärfenabbau im Zeitverlauf</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Projektstart: </w:t>
      </w:r>
      <w:r>
        <w:rPr>
          <w:rFonts w:ascii="Calibri" w:hAnsi="Calibri"/>
          <w:sz w:val="21"/>
          <w:color w:val="334155"/>
        </w:rPr>
        <w:t xml:space="preserve">Vor Baubeginn (Schätzung): Toleranzbereich ± 20 % bis ± 25 %.</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Halbe Strecke: </w:t>
      </w:r>
      <w:r>
        <w:rPr>
          <w:rFonts w:ascii="Calibri" w:hAnsi="Calibri"/>
          <w:sz w:val="21"/>
          <w:color w:val="334155"/>
        </w:rPr>
        <w:t xml:space="preserve">Mittlere Bauphase (50 % vergeben): Schärfere Kostensicherheit; Abweichungen zwischen Schätzung und Ausschreibungsergebnis werden sichtbar.</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Kurz vor Fertigstellung: </w:t>
      </w:r>
      <w:r>
        <w:rPr>
          <w:rFonts w:ascii="Calibri" w:hAnsi="Calibri"/>
          <w:sz w:val="21"/>
          <w:color w:val="334155"/>
        </w:rPr>
        <w:t xml:space="preserve">Endphase (80 % Rechnungen vorliegend): Zielkorridor ± 3 % Genauigkeit.</w:t>
      </w:r>
    </w:p>
    <w:p>
      <w:pPr>
        <w:spacing w:before="260" w:after="100" w:line="260" w:lineRule="auto"/>
      </w:pPr>
      <w:r>
        <w:rPr>
          <w:rFonts w:ascii="Calibri" w:hAnsi="Calibri"/>
          <w:b/>
          <w:color w:val="1E3A8A"/>
          <w:sz w:val="26"/>
        </w:rPr>
        <w:t xml:space="preserve">Die 3-Säulen-Prognoseformel auf halber Strecke</w:t>
      </w:r>
    </w:p>
    <w:p>
      <w:pPr>
        <w:spacing w:before="0" w:after="120" w:line="260" w:lineRule="auto"/>
      </w:pPr>
      <w:r>
        <w:rPr>
          <w:rFonts w:ascii="Calibri" w:hAnsi="Calibri"/>
          <w:color w:val="334155"/>
          <w:sz w:val="22"/>
        </w:rPr>
        <w:t xml:space="preserve">Um ein Ausufern der Baukosten („bevor Herr von Bischopinck gelyncht wird“) rechtzeitig zu verhindern, ermittelt das Baubuch bei jedem Kostenschnitt die Hochrechnung nach folgender Formel:</w:t>
      </w:r>
    </w:p>
    <w:tbl>
      <w:tblPr>
        <w:tblW w:w="9200" w:type="dxa"/>
        <w:tblBorders>
          <w:top w:val="none"/>
          <w:left w:val="single" w:sz="24" w:space="0" w:color="0369A1"/>
          <w:bottom w:val="none"/>
          <w:right w:val="none"/>
        </w:tblBorders>
      </w:tblPr>
      <w:tr>
        <w:tc>
          <w:tcPr>
            <w:tcW w:w="9200" w:type="dxa"/>
            <w:shd w:val="clear" w:color="auto" w:fill="E0F2FE"/>
            <w:tcMar>
              <w:top w:w="160"/>
              <w:bottom w:w="160"/>
              <w:left w:w="200"/>
              <w:right w:w="200"/>
            </w:tcMar>
          </w:tcPr>
          <w:p>
            <w:pPr>
              <w:spacing w:before="0" w:after="60" w:line="260" w:lineRule="auto"/>
            </w:pPr>
            <w:r>
              <w:rPr>
                <w:rFonts w:ascii="Calibri" w:hAnsi="Calibri"/>
                <w:b/>
                <w:color w:val="0369A1"/>
                <w:sz w:val="21"/>
              </w:rPr>
              <w:t xml:space="preserve">Die Forecast-Gleichung des Baubuchs</w:t>
            </w:r>
          </w:p>
          <w:p>
            <w:pPr>
              <w:spacing w:before="0" w:after="0" w:line="260" w:lineRule="auto"/>
            </w:pPr>
            <w:r>
              <w:rPr>
                <w:rFonts w:ascii="Calibri" w:hAnsi="Calibri"/>
                <w:color w:val="334155"/>
                <w:sz w:val="20"/>
              </w:rPr>
              <w:t xml:space="preserve">Voraussichtliche Endkosten = Ist-Ausgaben (bereits bezahlte Rechnungen)</w:t>
            </w:r>
            <w:r>
              <w:br/>
            </w:r>
            <w:r>
              <w:rPr>
                <w:rFonts w:ascii="Calibri" w:hAnsi="Calibri"/>
                <w:color w:val="334155"/>
                <w:sz w:val="20"/>
              </w:rPr>
              <w:t xml:space="preserve">                           + Obligo (vertraglich gebundene, noch nicht abgerechnete Aufträge)</w:t>
            </w:r>
            <w:r>
              <w:br/>
            </w:r>
            <w:r>
              <w:rPr>
                <w:rFonts w:ascii="Calibri" w:hAnsi="Calibri"/>
                <w:color w:val="334155"/>
                <w:sz w:val="20"/>
              </w:rPr>
              <w:t xml:space="preserve">                           + Rest-Schätzung (noch nicht vergebene Gewerke mit aktuellem Baupreisindex)</w:t>
            </w:r>
            <w:r>
              <w:br/>
            </w:r>
            <w:r>
              <w:rPr>
                <w:rFonts w:ascii="Calibri" w:hAnsi="Calibri"/>
                <w:color w:val="334155"/>
                <w:sz w:val="20"/>
              </w:rPr>
              <w:t xml:space="preserve"/>
            </w:r>
            <w:r>
              <w:br/>
            </w:r>
            <w:r>
              <w:rPr>
                <w:rFonts w:ascii="Calibri" w:hAnsi="Calibri"/>
                <w:color w:val="334155"/>
                <w:sz w:val="20"/>
              </w:rPr>
              <w:t xml:space="preserve">Ergibt die Hochrechnung eine Überschreitung des Budgets (Ist &gt; Schätzung), greift das Baubuch sofort ein: Geplante Ausführungsstandards bei nachfolgenden Gewerken (z. B. Beläge, Außenanlagen) werden angepasst, um den Gesamtpreis wieder einzufangen.</w:t>
            </w:r>
          </w:p>
        </w:tc>
      </w:tr>
    </w:tbl>
    <w:p>
      <w:pPr>
        <w:spacing w:before="360" w:after="140" w:line="260" w:lineRule="auto"/>
      </w:pPr>
      <w:r>
        <w:rPr>
          <w:rFonts w:ascii="Calibri" w:hAnsi="Calibri"/>
          <w:b/>
          <w:color w:val="0F172A"/>
          <w:sz w:val="32"/>
        </w:rPr>
        <w:t xml:space="preserve">8. Phase 6: Bauausgabebuch, Abnahme &amp; Rechnungsprüfung</w:t>
      </w:r>
    </w:p>
    <w:p>
      <w:pPr>
        <w:spacing w:before="0" w:after="120" w:line="260" w:lineRule="auto"/>
      </w:pPr>
      <w:r>
        <w:rPr>
          <w:rFonts w:ascii="Calibri" w:hAnsi="Calibri"/>
          <w:color w:val="334155"/>
          <w:sz w:val="22"/>
        </w:rPr>
        <w:t xml:space="preserve">Im fortlaufenden Bauprozess treffen Abschlagsrechnungen ein. Yuneo verbucht diese zwar in der Finanzbuchhaltung, kann aber die baurechtlichen und vertraglichen Voraussetzungen nicht verifizieren.</w:t>
      </w:r>
    </w:p>
    <w:p>
      <w:pPr>
        <w:spacing w:before="260" w:after="100" w:line="260" w:lineRule="auto"/>
      </w:pPr>
      <w:r>
        <w:rPr>
          <w:rFonts w:ascii="Calibri" w:hAnsi="Calibri"/>
          <w:b/>
          <w:color w:val="1E3A8A"/>
          <w:sz w:val="26"/>
        </w:rPr>
        <w:t xml:space="preserve">Schritt 1: Abschlagsrechnungen &amp; Skontosteuerung</w:t>
      </w:r>
    </w:p>
    <w:p>
      <w:pPr>
        <w:spacing w:before="0" w:after="120" w:line="260" w:lineRule="auto"/>
      </w:pPr>
      <w:r>
        <w:rPr>
          <w:rFonts w:ascii="Calibri" w:hAnsi="Calibri"/>
          <w:color w:val="334155"/>
          <w:sz w:val="22"/>
        </w:rPr>
        <w:t xml:space="preserve">Abschlagszahlungen erfolgen nach nachgewiesenem Bautenstand. Das Baubuch überwacht die Skontofristen (2 % Skonto bei Anweisung innerhalb von 10 Werktagen). Im Yuneo-Export entsteht hierbei die Differenz zwischen dem geprüften Rechnungsbetrag (Abrechnung) und dem tatsächlichen Zahlbetrag (nach Skontoabzug).</w:t>
      </w:r>
    </w:p>
    <w:p>
      <w:pPr>
        <w:spacing w:before="260" w:after="100" w:line="260" w:lineRule="auto"/>
      </w:pPr>
      <w:r>
        <w:rPr>
          <w:rFonts w:ascii="Calibri" w:hAnsi="Calibri"/>
          <w:b/>
          <w:color w:val="1E3A8A"/>
          <w:sz w:val="26"/>
        </w:rPr>
        <w:t xml:space="preserve">Schritt 2: Die förmliche Abnahme (§ 12 VOB/B)</w:t>
      </w:r>
    </w:p>
    <w:p>
      <w:pPr>
        <w:spacing w:before="0" w:after="120" w:line="260" w:lineRule="auto"/>
      </w:pPr>
      <w:r>
        <w:rPr>
          <w:rFonts w:ascii="Calibri" w:hAnsi="Calibri"/>
          <w:color w:val="334155"/>
          <w:sz w:val="22"/>
        </w:rPr>
        <w:t xml:space="preserve">Erst wenn das Gewerk fertiggestellt ist, findet die förmliche Abnahme vor Ort statt:</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Begehung: </w:t>
      </w:r>
      <w:r>
        <w:rPr>
          <w:rFonts w:ascii="Calibri" w:hAnsi="Calibri"/>
          <w:sz w:val="21"/>
          <w:color w:val="334155"/>
        </w:rPr>
        <w:t xml:space="preserve">Gemeinsame Begehung auf der Baustelle durch Bauüberwachung der WOBAK und Auftragnehmer.</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Mängelprotokoll: </w:t>
      </w:r>
      <w:r>
        <w:rPr>
          <w:rFonts w:ascii="Calibri" w:hAnsi="Calibri"/>
          <w:sz w:val="21"/>
          <w:color w:val="334155"/>
        </w:rPr>
        <w:t xml:space="preserve">Dokumentation sichtbarer Restmängel im Abnahmeprotokoll unter Setzung von Fristen zur Mängelbeseitigung.</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Rechtswirkung: </w:t>
      </w:r>
      <w:r>
        <w:rPr>
          <w:rFonts w:ascii="Calibri" w:hAnsi="Calibri"/>
          <w:sz w:val="21"/>
          <w:color w:val="334155"/>
        </w:rPr>
        <w:t xml:space="preserve">Erst mit unterzeichnetem Abnahmeprotokoll tritt die rechtliche Entlastung des Handwerkers ein, die Gewährleistungsfrist (5 Jahre) beginnt zu laufen und der Handwerker erhält die Berechtigung, die Schlussrechnung zu stellen.</w:t>
      </w:r>
    </w:p>
    <w:p>
      <w:pPr>
        <w:spacing w:before="260" w:after="100" w:line="260" w:lineRule="auto"/>
      </w:pPr>
      <w:r>
        <w:rPr>
          <w:rFonts w:ascii="Calibri" w:hAnsi="Calibri"/>
          <w:b/>
          <w:color w:val="1E3A8A"/>
          <w:sz w:val="26"/>
        </w:rPr>
        <w:t xml:space="preserve">Schritt 3: Das KEV-311-Schlussrechnungsprüfschema</w:t>
      </w:r>
    </w:p>
    <w:p>
      <w:pPr>
        <w:spacing w:before="0" w:after="120" w:line="260" w:lineRule="auto"/>
      </w:pPr>
      <w:r>
        <w:rPr>
          <w:rFonts w:ascii="Calibri" w:hAnsi="Calibri"/>
          <w:color w:val="334155"/>
          <w:sz w:val="22"/>
        </w:rPr>
        <w:t xml:space="preserve">Die Schlussrechnung wird nach den Vorgaben des kommunalen Vergabehandbuchs KEV 311 geprüft:</w:t>
      </w:r>
    </w:p>
    <w:tbl>
      <w:tblPr>
        <w:tblW w:w="9200" w:type="dxa"/>
        <w:tblBorders>
          <w:top w:val="single" w:sz="6" w:space="0" w:color="CBD5E1"/>
          <w:bottom w:val="single" w:sz="6" w:space="0" w:color="CBD5E1"/>
          <w:insideH w:val="single" w:sz="4" w:space="0" w:color="E2E8F0"/>
          <w:insideV w:val="none"/>
          <w:left w:val="none"/>
          <w:right w:val="none"/>
        </w:tblBorders>
      </w:tblPr>
      <w:tblGrid>
        <w:gridCol w:w="3600"/>
        <w:gridCol w:w="3600"/>
        <w:gridCol w:w="2000"/>
      </w:tblGrid>
      <w:tr>
        <w:tc>
          <w:tcPr>
            <w:tcW w:w="3600" w:type="dxa"/>
            <w:shd w:val="clear" w:color="auto" w:fill="F1F5F9"/>
            <w:tcMar>
              <w:top w:w="120"/>
              <w:bottom w:w="120"/>
              <w:left w:w="140"/>
              <w:right w:w="140"/>
            </w:tcMar>
          </w:tcPr>
          <w:p>
            <w:pPr>
              <w:spacing w:after="0"/>
            </w:pPr>
            <w:r>
              <w:rPr>
                <w:rFonts w:ascii="Calibri" w:hAnsi="Calibri"/>
                <w:b/>
                <w:sz w:val="21"/>
                <w:color w:val="0F172A"/>
              </w:rPr>
              <w:t xml:space="preserve">Prüfschritt / Position</w:t>
            </w:r>
          </w:p>
        </w:tc>
        <w:tc>
          <w:tcPr>
            <w:tcW w:w="3600" w:type="dxa"/>
            <w:shd w:val="clear" w:color="auto" w:fill="F1F5F9"/>
            <w:tcMar>
              <w:top w:w="120"/>
              <w:bottom w:w="120"/>
              <w:left w:w="140"/>
              <w:right w:w="140"/>
            </w:tcMar>
          </w:tcPr>
          <w:p>
            <w:pPr>
              <w:spacing w:after="0"/>
            </w:pPr>
            <w:r>
              <w:rPr>
                <w:rFonts w:ascii="Calibri" w:hAnsi="Calibri"/>
                <w:b/>
                <w:sz w:val="21"/>
                <w:color w:val="0F172A"/>
              </w:rPr>
              <w:t xml:space="preserve">Berechnungsbasis</w:t>
            </w:r>
          </w:p>
        </w:tc>
        <w:tc>
          <w:tcPr>
            <w:tcW w:w="2000" w:type="dxa"/>
            <w:shd w:val="clear" w:color="auto" w:fill="F1F5F9"/>
            <w:tcMar>
              <w:top w:w="120"/>
              <w:bottom w:w="120"/>
              <w:left w:w="140"/>
              <w:right w:w="140"/>
            </w:tcMar>
          </w:tcPr>
          <w:p>
            <w:pPr>
              <w:spacing w:after="0"/>
            </w:pPr>
            <w:r>
              <w:rPr>
                <w:rFonts w:ascii="Calibri" w:hAnsi="Calibri"/>
                <w:b/>
                <w:sz w:val="21"/>
                <w:color w:val="0F172A"/>
              </w:rPr>
              <w:t xml:space="preserve">Beispiel-Betrag</w:t>
            </w:r>
          </w:p>
        </w:tc>
      </w:tr>
      <w:tr>
        <w:tc>
          <w:tcPr>
            <w:tcW w:w="3600" w:type="dxa"/>
            <w:tcMar>
              <w:top w:w="120"/>
              <w:bottom w:w="120"/>
              <w:left w:w="140"/>
              <w:right w:w="140"/>
            </w:tcMar>
          </w:tcPr>
          <w:p>
            <w:pPr>
              <w:spacing w:after="0"/>
            </w:pPr>
            <w:r>
              <w:rPr>
                <w:rFonts w:ascii="Calibri" w:hAnsi="Calibri"/>
                <w:sz w:val="20"/>
                <w:color w:val="334155"/>
              </w:rPr>
              <w:t xml:space="preserve">Rechnungsbrutto (geprüfte Ausführungssumme)</w:t>
            </w:r>
          </w:p>
        </w:tc>
        <w:tc>
          <w:tcPr>
            <w:tcW w:w="3600" w:type="dxa"/>
            <w:tcMar>
              <w:top w:w="120"/>
              <w:bottom w:w="120"/>
              <w:left w:w="140"/>
              <w:right w:w="140"/>
            </w:tcMar>
          </w:tcPr>
          <w:p>
            <w:pPr>
              <w:spacing w:after="0"/>
            </w:pPr>
            <w:r>
              <w:rPr>
                <w:rFonts w:ascii="Calibri" w:hAnsi="Calibri"/>
                <w:sz w:val="20"/>
                <w:color w:val="334155"/>
              </w:rPr>
              <w:t xml:space="preserve">Aufmaßprüfung &amp; Einheitspreise</w:t>
            </w:r>
          </w:p>
        </w:tc>
        <w:tc>
          <w:tcPr>
            <w:tcW w:w="2000" w:type="dxa"/>
            <w:shd w:val="clear" w:color="auto" w:fill="F1F5F9"/>
            <w:tcMar>
              <w:top w:w="120"/>
              <w:bottom w:w="120"/>
              <w:left w:w="140"/>
              <w:right w:w="140"/>
            </w:tcMar>
          </w:tcPr>
          <w:p>
            <w:pPr>
              <w:spacing w:after="0"/>
            </w:pPr>
            <w:r>
              <w:rPr>
                <w:rFonts w:ascii="Calibri" w:hAnsi="Calibri"/>
                <w:b/>
                <w:sz w:val="21"/>
                <w:color w:val="0F172A"/>
              </w:rPr>
              <w:t xml:space="preserve">154.462,00 €</w:t>
            </w:r>
          </w:p>
        </w:tc>
      </w:tr>
      <w:tr>
        <w:tc>
          <w:tcPr>
            <w:tcW w:w="3600" w:type="dxa"/>
            <w:tcMar>
              <w:top w:w="120"/>
              <w:bottom w:w="120"/>
              <w:left w:w="140"/>
              <w:right w:w="140"/>
            </w:tcMar>
          </w:tcPr>
          <w:p>
            <w:pPr>
              <w:spacing w:after="0"/>
            </w:pPr>
            <w:r>
              <w:rPr>
                <w:rFonts w:ascii="Calibri" w:hAnsi="Calibri"/>
                <w:sz w:val="20"/>
                <w:color w:val="334155"/>
              </w:rPr>
              <w:t xml:space="preserve">./. Vertragliche Umlagen (7,5 ‰)</w:t>
            </w:r>
          </w:p>
        </w:tc>
        <w:tc>
          <w:tcPr>
            <w:tcW w:w="3600" w:type="dxa"/>
            <w:tcMar>
              <w:top w:w="120"/>
              <w:bottom w:w="120"/>
              <w:left w:w="140"/>
              <w:right w:w="140"/>
            </w:tcMar>
          </w:tcPr>
          <w:p>
            <w:pPr>
              <w:spacing w:after="0"/>
            </w:pPr>
            <w:r>
              <w:rPr>
                <w:rFonts w:ascii="Calibri" w:hAnsi="Calibri"/>
                <w:sz w:val="20"/>
                <w:color w:val="334155"/>
              </w:rPr>
              <w:t xml:space="preserve">Baustrom (3‰), Bauwasser (2‰), Vers. (2,5‰)</w:t>
            </w:r>
          </w:p>
        </w:tc>
        <w:tc>
          <w:tcPr>
            <w:tcW w:w="2000" w:type="dxa"/>
            <w:tcMar>
              <w:top w:w="120"/>
              <w:bottom w:w="120"/>
              <w:left w:w="140"/>
              <w:right w:w="140"/>
            </w:tcMar>
          </w:tcPr>
          <w:p>
            <w:pPr>
              <w:spacing w:after="0"/>
            </w:pPr>
            <w:r>
              <w:rPr>
                <w:rFonts w:ascii="Calibri" w:hAnsi="Calibri"/>
                <w:sz w:val="20"/>
                <w:color w:val="334155"/>
              </w:rPr>
              <w:t xml:space="preserve">- 1.158,47 €</w:t>
            </w:r>
          </w:p>
        </w:tc>
      </w:tr>
      <w:tr>
        <w:tc>
          <w:tcPr>
            <w:tcW w:w="3600" w:type="dxa"/>
            <w:tcMar>
              <w:top w:w="120"/>
              <w:bottom w:w="120"/>
              <w:left w:w="140"/>
              <w:right w:w="140"/>
            </w:tcMar>
          </w:tcPr>
          <w:p>
            <w:pPr>
              <w:spacing w:after="0"/>
            </w:pPr>
            <w:r>
              <w:rPr>
                <w:rFonts w:ascii="Calibri" w:hAnsi="Calibri"/>
                <w:sz w:val="20"/>
                <w:color w:val="334155"/>
              </w:rPr>
              <w:t xml:space="preserve">Zwischensumme nach Umlagen</w:t>
            </w:r>
          </w:p>
        </w:tc>
        <w:tc>
          <w:tcPr>
            <w:tcW w:w="3600" w:type="dxa"/>
            <w:tcMar>
              <w:top w:w="120"/>
              <w:bottom w:w="120"/>
              <w:left w:w="140"/>
              <w:right w:w="140"/>
            </w:tcMar>
          </w:tcPr>
          <w:p>
            <w:pPr>
              <w:spacing w:after="0"/>
            </w:pPr>
            <w:r>
              <w:rPr>
                <w:rFonts w:ascii="Calibri" w:hAnsi="Calibri"/>
                <w:sz w:val="20"/>
                <w:color w:val="334155"/>
              </w:rPr>
              <w:t xml:space="preserve">Abrechnungssumme</w:t>
            </w:r>
          </w:p>
        </w:tc>
        <w:tc>
          <w:tcPr>
            <w:tcW w:w="2000" w:type="dxa"/>
            <w:tcMar>
              <w:top w:w="120"/>
              <w:bottom w:w="120"/>
              <w:left w:w="140"/>
              <w:right w:w="140"/>
            </w:tcMar>
          </w:tcPr>
          <w:p>
            <w:pPr>
              <w:spacing w:after="0"/>
            </w:pPr>
            <w:r>
              <w:rPr>
                <w:rFonts w:ascii="Calibri" w:hAnsi="Calibri"/>
                <w:sz w:val="20"/>
                <w:color w:val="334155"/>
              </w:rPr>
              <w:t xml:space="preserve">153.303,53 €</w:t>
            </w:r>
          </w:p>
        </w:tc>
      </w:tr>
      <w:tr>
        <w:tc>
          <w:tcPr>
            <w:tcW w:w="3600" w:type="dxa"/>
            <w:tcMar>
              <w:top w:w="120"/>
              <w:bottom w:w="120"/>
              <w:left w:w="140"/>
              <w:right w:w="140"/>
            </w:tcMar>
          </w:tcPr>
          <w:p>
            <w:pPr>
              <w:spacing w:after="0"/>
            </w:pPr>
            <w:r>
              <w:rPr>
                <w:rFonts w:ascii="Calibri" w:hAnsi="Calibri"/>
                <w:sz w:val="20"/>
                <w:color w:val="334155"/>
              </w:rPr>
              <w:t xml:space="preserve">./. Skontoabzug (2 % vereinbart)</w:t>
            </w:r>
          </w:p>
        </w:tc>
        <w:tc>
          <w:tcPr>
            <w:tcW w:w="3600" w:type="dxa"/>
            <w:tcMar>
              <w:top w:w="120"/>
              <w:bottom w:w="120"/>
              <w:left w:w="140"/>
              <w:right w:w="140"/>
            </w:tcMar>
          </w:tcPr>
          <w:p>
            <w:pPr>
              <w:spacing w:after="0"/>
            </w:pPr>
            <w:r>
              <w:rPr>
                <w:rFonts w:ascii="Calibri" w:hAnsi="Calibri"/>
                <w:sz w:val="20"/>
                <w:color w:val="334155"/>
              </w:rPr>
              <w:t xml:space="preserve">Bei fristgerechter Anweisung</w:t>
            </w:r>
          </w:p>
        </w:tc>
        <w:tc>
          <w:tcPr>
            <w:tcW w:w="2000" w:type="dxa"/>
            <w:tcMar>
              <w:top w:w="120"/>
              <w:bottom w:w="120"/>
              <w:left w:w="140"/>
              <w:right w:w="140"/>
            </w:tcMar>
          </w:tcPr>
          <w:p>
            <w:pPr>
              <w:spacing w:after="0"/>
            </w:pPr>
            <w:r>
              <w:rPr>
                <w:rFonts w:ascii="Calibri" w:hAnsi="Calibri"/>
                <w:sz w:val="20"/>
                <w:color w:val="334155"/>
              </w:rPr>
              <w:t xml:space="preserve">- 3.066,07 €</w:t>
            </w:r>
          </w:p>
        </w:tc>
      </w:tr>
      <w:tr>
        <w:tc>
          <w:tcPr>
            <w:tcW w:w="3600" w:type="dxa"/>
            <w:tcMar>
              <w:top w:w="120"/>
              <w:bottom w:w="120"/>
              <w:left w:w="140"/>
              <w:right w:w="140"/>
            </w:tcMar>
          </w:tcPr>
          <w:p>
            <w:pPr>
              <w:spacing w:after="0"/>
            </w:pPr>
            <w:r>
              <w:rPr>
                <w:rFonts w:ascii="Calibri" w:hAnsi="Calibri"/>
                <w:sz w:val="20"/>
                <w:color w:val="334155"/>
              </w:rPr>
              <w:t xml:space="preserve">./. Bisher geleistete Abschlagszahlungen (1–3)</w:t>
            </w:r>
          </w:p>
        </w:tc>
        <w:tc>
          <w:tcPr>
            <w:tcW w:w="3600" w:type="dxa"/>
            <w:tcMar>
              <w:top w:w="120"/>
              <w:bottom w:w="120"/>
              <w:left w:w="140"/>
              <w:right w:w="140"/>
            </w:tcMar>
          </w:tcPr>
          <w:p>
            <w:pPr>
              <w:spacing w:after="0"/>
            </w:pPr>
            <w:r>
              <w:rPr>
                <w:rFonts w:ascii="Calibri" w:hAnsi="Calibri"/>
                <w:sz w:val="20"/>
                <w:color w:val="334155"/>
              </w:rPr>
              <w:t xml:space="preserve">Bereits angewiesene Zahlungen</w:t>
            </w:r>
          </w:p>
        </w:tc>
        <w:tc>
          <w:tcPr>
            <w:tcW w:w="2000" w:type="dxa"/>
            <w:tcMar>
              <w:top w:w="120"/>
              <w:bottom w:w="120"/>
              <w:left w:w="140"/>
              <w:right w:w="140"/>
            </w:tcMar>
          </w:tcPr>
          <w:p>
            <w:pPr>
              <w:spacing w:after="0"/>
            </w:pPr>
            <w:r>
              <w:rPr>
                <w:rFonts w:ascii="Calibri" w:hAnsi="Calibri"/>
                <w:sz w:val="20"/>
                <w:color w:val="334155"/>
              </w:rPr>
              <w:t xml:space="preserve">- 125.000,00 €</w:t>
            </w:r>
          </w:p>
        </w:tc>
      </w:tr>
      <w:tr>
        <w:tc>
          <w:tcPr>
            <w:tcW w:w="3600" w:type="dxa"/>
            <w:tcMar>
              <w:top w:w="120"/>
              <w:bottom w:w="120"/>
              <w:left w:w="140"/>
              <w:right w:w="140"/>
            </w:tcMar>
          </w:tcPr>
          <w:p>
            <w:pPr>
              <w:spacing w:after="0"/>
            </w:pPr>
            <w:r>
              <w:rPr>
                <w:rFonts w:ascii="Calibri" w:hAnsi="Calibri"/>
                <w:sz w:val="20"/>
                <w:color w:val="334155"/>
              </w:rPr>
              <w:t xml:space="preserve">./. Mängelsicherheitseinbehalt (3 %)</w:t>
            </w:r>
          </w:p>
        </w:tc>
        <w:tc>
          <w:tcPr>
            <w:tcW w:w="3600" w:type="dxa"/>
            <w:tcMar>
              <w:top w:w="120"/>
              <w:bottom w:w="120"/>
              <w:left w:w="140"/>
              <w:right w:w="140"/>
            </w:tcMar>
          </w:tcPr>
          <w:p>
            <w:pPr>
              <w:spacing w:after="0"/>
            </w:pPr>
            <w:r>
              <w:rPr>
                <w:rFonts w:ascii="Calibri" w:hAnsi="Calibri"/>
                <w:sz w:val="20"/>
                <w:color w:val="334155"/>
              </w:rPr>
              <w:t xml:space="preserve">Ablösbar durch KEV 311 Bürgschaft</w:t>
            </w:r>
          </w:p>
        </w:tc>
        <w:tc>
          <w:tcPr>
            <w:tcW w:w="2000" w:type="dxa"/>
            <w:tcMar>
              <w:top w:w="120"/>
              <w:bottom w:w="120"/>
              <w:left w:w="140"/>
              <w:right w:w="140"/>
            </w:tcMar>
          </w:tcPr>
          <w:p>
            <w:pPr>
              <w:spacing w:after="0"/>
            </w:pPr>
            <w:r>
              <w:rPr>
                <w:rFonts w:ascii="Calibri" w:hAnsi="Calibri"/>
                <w:sz w:val="20"/>
                <w:color w:val="334155"/>
              </w:rPr>
              <w:t xml:space="preserve">- 4.633,86 €</w:t>
            </w:r>
          </w:p>
        </w:tc>
      </w:tr>
      <w:tr>
        <w:tc>
          <w:tcPr>
            <w:tcW w:w="3600" w:type="dxa"/>
            <w:shd w:val="clear" w:color="auto" w:fill="F1F5F9"/>
            <w:tcMar>
              <w:top w:w="120"/>
              <w:bottom w:w="120"/>
              <w:left w:w="140"/>
              <w:right w:w="140"/>
            </w:tcMar>
          </w:tcPr>
          <w:p>
            <w:pPr>
              <w:spacing w:after="0"/>
            </w:pPr>
            <w:r>
              <w:rPr>
                <w:rFonts w:ascii="Calibri" w:hAnsi="Calibri"/>
                <w:b/>
                <w:sz w:val="21"/>
                <w:color w:val="0F172A"/>
              </w:rPr>
              <w:t xml:space="preserve">TATSÄCHLICHER RESTAUSZAHLUNGSBETRAG</w:t>
            </w:r>
          </w:p>
        </w:tc>
        <w:tc>
          <w:tcPr>
            <w:tcW w:w="3600" w:type="dxa"/>
            <w:shd w:val="clear" w:color="auto" w:fill="F1F5F9"/>
            <w:tcMar>
              <w:top w:w="120"/>
              <w:bottom w:w="120"/>
              <w:left w:w="140"/>
              <w:right w:w="140"/>
            </w:tcMar>
          </w:tcPr>
          <w:p>
            <w:pPr>
              <w:spacing w:after="0"/>
            </w:pPr>
            <w:r>
              <w:rPr>
                <w:rFonts w:ascii="Calibri" w:hAnsi="Calibri"/>
                <w:b/>
                <w:sz w:val="21"/>
                <w:color w:val="0F172A"/>
              </w:rPr>
              <w:t xml:space="preserve">Banküberweisung an Auftragnehmer</w:t>
            </w:r>
          </w:p>
        </w:tc>
        <w:tc>
          <w:tcPr>
            <w:tcW w:w="2000" w:type="dxa"/>
            <w:shd w:val="clear" w:color="auto" w:fill="F1F5F9"/>
            <w:tcMar>
              <w:top w:w="120"/>
              <w:bottom w:w="120"/>
              <w:left w:w="140"/>
              <w:right w:w="140"/>
            </w:tcMar>
          </w:tcPr>
          <w:p>
            <w:pPr>
              <w:spacing w:after="0"/>
            </w:pPr>
            <w:r>
              <w:rPr>
                <w:rFonts w:ascii="Calibri" w:hAnsi="Calibri"/>
                <w:b/>
                <w:sz w:val="21"/>
                <w:color w:val="0F172A"/>
              </w:rPr>
              <w:t xml:space="preserve">20.603,60 €</w:t>
            </w:r>
          </w:p>
        </w:tc>
      </w:tr>
    </w:tbl>
    <w:p>
      <w:pPr>
        <w:spacing w:before="0" w:after="120" w:line="260" w:lineRule="auto"/>
      </w:pPr>
      <w:r>
        <w:rPr>
          <w:rFonts w:ascii="Calibri" w:hAnsi="Calibri"/>
          <w:color w:val="334155"/>
          <w:sz w:val="22"/>
        </w:rPr>
        <w:t xml:space="preserve"/>
      </w:r>
    </w:p>
    <w:p>
      <w:pPr>
        <w:spacing w:before="260" w:after="100" w:line="260" w:lineRule="auto"/>
      </w:pPr>
      <w:r>
        <w:rPr>
          <w:rFonts w:ascii="Calibri" w:hAnsi="Calibri"/>
          <w:b/>
          <w:color w:val="1E3A8A"/>
          <w:sz w:val="26"/>
        </w:rPr>
        <w:t xml:space="preserve">Schritt 4: Bürgschaftsverwaltung im Baubuch</w:t>
      </w:r>
    </w:p>
    <w:p>
      <w:pPr>
        <w:spacing w:before="0" w:after="120" w:line="260" w:lineRule="auto"/>
      </w:pPr>
      <w:r>
        <w:rPr>
          <w:rFonts w:ascii="Calibri" w:hAnsi="Calibri"/>
          <w:color w:val="334155"/>
          <w:sz w:val="22"/>
        </w:rPr>
        <w:t xml:space="preserve">Um Liquidität zu schonen, lösen Auftragnehmer den Bareinbehalt regelmäßig durch Bankbürgschaften ab. Die WOBAK führt hierfür ein verbindliches Bürgschaftsbuch:</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Eingang &amp; Verwahrung: </w:t>
      </w:r>
      <w:r>
        <w:rPr>
          <w:rFonts w:ascii="Calibri" w:hAnsi="Calibri"/>
          <w:sz w:val="21"/>
          <w:color w:val="334155"/>
        </w:rPr>
        <w:t xml:space="preserve">Die Original-Bürgschaftsurkunde (Muster KEV 311 Sich 2) wird geprüft und im Unternehmenstresor hinterlegt.</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Fristenüberwachung: </w:t>
      </w:r>
      <w:r>
        <w:rPr>
          <w:rFonts w:ascii="Calibri" w:hAnsi="Calibri"/>
          <w:sz w:val="21"/>
          <w:color w:val="334155"/>
        </w:rPr>
        <w:t xml:space="preserve">Das Baubuch erfasst Bank, Bürgschaftsnummer, Bürgschaftssumme und das exakte Ablaufdatum der 5-jährigen Gewährleistungsfrist.</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Rückgabe &amp; Entlastung: </w:t>
      </w:r>
      <w:r>
        <w:rPr>
          <w:rFonts w:ascii="Calibri" w:hAnsi="Calibri"/>
          <w:sz w:val="21"/>
          <w:color w:val="334155"/>
        </w:rPr>
        <w:t xml:space="preserve">Nach Ablauf von 5 Jahren und nach mängelfreier Schlussbegehung wird die Bürgschaftsurkunde formell entlastet und an die Bank zurückgesandt.</w:t>
      </w:r>
    </w:p>
    <w:p>
      <w:pPr>
        <w:spacing w:before="360" w:after="140" w:line="260" w:lineRule="auto"/>
      </w:pPr>
      <w:r>
        <w:rPr>
          <w:rFonts w:ascii="Calibri" w:hAnsi="Calibri"/>
          <w:b/>
          <w:color w:val="0F172A"/>
          <w:sz w:val="32"/>
        </w:rPr>
        <w:t xml:space="preserve">9. Phase 7: Projektabschluss &amp; der geschlossene Kreislauf</w:t>
      </w:r>
    </w:p>
    <w:p>
      <w:pPr>
        <w:spacing w:before="0" w:after="120" w:line="260" w:lineRule="auto"/>
      </w:pPr>
      <w:r>
        <w:rPr>
          <w:rFonts w:ascii="Calibri" w:hAnsi="Calibri"/>
          <w:color w:val="334155"/>
          <w:sz w:val="22"/>
        </w:rPr>
        <w:t xml:space="preserve">Nach Fertigstellung und Abrechnung aller Gewerke erfolgt die finale Kostenfeststellung (DIN 276 Stufe 5).</w:t>
      </w:r>
    </w:p>
    <w:p>
      <w:pPr>
        <w:spacing w:before="260" w:after="100" w:line="260" w:lineRule="auto"/>
      </w:pPr>
      <w:r>
        <w:rPr>
          <w:rFonts w:ascii="Calibri" w:hAnsi="Calibri"/>
          <w:b/>
          <w:color w:val="1E3A8A"/>
          <w:sz w:val="26"/>
        </w:rPr>
        <w:t xml:space="preserve">Die DIN-276-Saldenliste mit echten Summenstrichen</w:t>
      </w:r>
    </w:p>
    <w:p>
      <w:pPr>
        <w:spacing w:before="0" w:after="120" w:line="260" w:lineRule="auto"/>
      </w:pPr>
      <w:r>
        <w:rPr>
          <w:rFonts w:ascii="Calibri" w:hAnsi="Calibri"/>
          <w:color w:val="334155"/>
          <w:sz w:val="22"/>
        </w:rPr>
        <w:t xml:space="preserve">Das Baubuch erzeugt die Saldenliste, die im Yuneo-ERP fehlt: Alle Zahlungen und Skonti werden auf die 100er-Kostengruppen aggregiert. Unter jeder Hauptgruppe (100, 200, 300, 400, 500, 600, 700) steht ein klarer Summenstrich.</w:t>
      </w:r>
    </w:p>
    <w:p>
      <w:pPr>
        <w:spacing w:before="260" w:after="100" w:line="260" w:lineRule="auto"/>
      </w:pPr>
      <w:r>
        <w:rPr>
          <w:rFonts w:ascii="Calibri" w:hAnsi="Calibri"/>
          <w:b/>
          <w:color w:val="1E3A8A"/>
          <w:sz w:val="26"/>
        </w:rPr>
        <w:t xml:space="preserve">Der Erfahrungswert-Rückfluss (Loopback)</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1. Kennwert-Update: </w:t>
      </w:r>
      <w:r>
        <w:rPr>
          <w:rFonts w:ascii="Calibri" w:hAnsi="Calibri"/>
          <w:sz w:val="21"/>
          <w:color w:val="334155"/>
        </w:rPr>
        <w:t xml:space="preserve">Die tatsächlichen Abrechnungswerte (€/m² WF und €/m³ BRI) fließen direkt zurück in die WOBAK-Kennwertdatenbank.</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2. Gewerke-Kalibrierung: </w:t>
      </w:r>
      <w:r>
        <w:rPr>
          <w:rFonts w:ascii="Calibri" w:hAnsi="Calibri"/>
          <w:sz w:val="21"/>
          <w:color w:val="334155"/>
        </w:rPr>
        <w:t xml:space="preserve">Die prozentualen Gewerke-Anteile (z. B. Rohbau 39,2 %, Heizung 4,41 %) werden auf Basis der realen Schlussrechnungen kalibriert.</w:t>
      </w:r>
    </w:p>
    <w:p>
      <w:pPr>
        <w:spacing w:before="40" w:after="80" w:line="240" w:lineRule="auto"/>
        <w:ind w:left="400" w:hanging="240"/>
      </w:pPr>
      <w:r>
        <w:rPr>
          <w:rFonts w:ascii="Calibri" w:hAnsi="Calibri"/>
          <w:b/>
          <w:color w:val="1E3A8A"/>
        </w:rPr>
        <w:t xml:space="preserve">▪ </w:t>
      </w:r>
      <w:r>
        <w:rPr>
          <w:rFonts w:ascii="Calibri" w:hAnsi="Calibri"/>
          <w:b/>
          <w:sz w:val="21"/>
          <w:color w:val="0F172A"/>
        </w:rPr>
        <w:t xml:space="preserve">3. Schärfung künftiger Projekte: </w:t>
      </w:r>
      <w:r>
        <w:rPr>
          <w:rFonts w:ascii="Calibri" w:hAnsi="Calibri"/>
          <w:sz w:val="21"/>
          <w:color w:val="334155"/>
        </w:rPr>
        <w:t xml:space="preserve">Das nächste Grundstücksangebot, das bei Herrn Götsch eingeht (Phase 0), greift unmittelbar auf diese aktuellen, bereinigten Erfahrungswerte zu.</w:t>
      </w:r>
    </w:p>
    <w:tbl>
      <w:tblPr>
        <w:tblW w:w="9200" w:type="dxa"/>
        <w:tblBorders>
          <w:top w:val="none"/>
          <w:left w:val="single" w:sz="24" w:space="0" w:color="6D28D9"/>
          <w:bottom w:val="none"/>
          <w:right w:val="none"/>
        </w:tblBorders>
      </w:tblPr>
      <w:tr>
        <w:tc>
          <w:tcPr>
            <w:tcW w:w="9200" w:type="dxa"/>
            <w:shd w:val="clear" w:color="auto" w:fill="EDE9FE"/>
            <w:tcMar>
              <w:top w:w="160"/>
              <w:bottom w:w="160"/>
              <w:left w:w="200"/>
              <w:right w:w="200"/>
            </w:tcMar>
          </w:tcPr>
          <w:p>
            <w:pPr>
              <w:spacing w:before="0" w:after="60" w:line="260" w:lineRule="auto"/>
            </w:pPr>
            <w:r>
              <w:rPr>
                <w:rFonts w:ascii="Calibri" w:hAnsi="Calibri"/>
                <w:b/>
                <w:color w:val="6D28D9"/>
                <w:sz w:val="21"/>
              </w:rPr>
              <w:t xml:space="preserve">Der geschlossene Kreislauf der WOBAK</w:t>
            </w:r>
          </w:p>
          <w:p>
            <w:pPr>
              <w:spacing w:before="0" w:after="0" w:line="260" w:lineRule="auto"/>
            </w:pPr>
            <w:r>
              <w:rPr>
                <w:rFonts w:ascii="Calibri" w:hAnsi="Calibri"/>
                <w:color w:val="334155"/>
                <w:sz w:val="20"/>
              </w:rPr>
              <w:t xml:space="preserve">Grundstücksangebot (Phase 0) ──▶ 2-Wege-Schätzung (Phase 1) ──▶ Gewerke-Verteilung (Phase 2)</w:t>
            </w:r>
            <w:r>
              <w:br/>
            </w:r>
            <w:r>
              <w:rPr>
                <w:rFonts w:ascii="Calibri" w:hAnsi="Calibri"/>
                <w:color w:val="334155"/>
                <w:sz w:val="20"/>
              </w:rPr>
              <w:t xml:space="preserve">         ▲                                                                      │</w:t>
            </w:r>
            <w:r>
              <w:br/>
            </w:r>
            <w:r>
              <w:rPr>
                <w:rFonts w:ascii="Calibri" w:hAnsi="Calibri"/>
                <w:color w:val="334155"/>
                <w:sz w:val="20"/>
              </w:rPr>
              <w:t xml:space="preserve">         │                                                                      ▼</w:t>
            </w:r>
            <w:r>
              <w:br/>
            </w:r>
            <w:r>
              <w:rPr>
                <w:rFonts w:ascii="Calibri" w:hAnsi="Calibri"/>
                <w:color w:val="334155"/>
                <w:sz w:val="20"/>
              </w:rPr>
              <w:t xml:space="preserve">Erfahrungsrückfluss (Phase 7) ◀── Rechnungsprüfung (Phase 6) ◀── VOB-Vergabe (Phase 4)</w:t>
            </w:r>
          </w:p>
        </w:tc>
      </w:tr>
    </w:tbl>
    <w:p>
      <w:pPr>
        <w:spacing w:before="360" w:after="140" w:line="260" w:lineRule="auto"/>
      </w:pPr>
      <w:r>
        <w:rPr>
          <w:rFonts w:ascii="Calibri" w:hAnsi="Calibri"/>
          <w:b/>
          <w:color w:val="0F172A"/>
          <w:sz w:val="32"/>
        </w:rPr>
        <w:t xml:space="preserve">10. Übersicht der Prozessablaufkette (Pflichtmatrix)</w:t>
      </w:r>
    </w:p>
    <w:p>
      <w:pPr>
        <w:spacing w:before="0" w:after="120" w:line="260" w:lineRule="auto"/>
      </w:pPr>
      <w:r>
        <w:rPr>
          <w:rFonts w:ascii="Calibri" w:hAnsi="Calibri"/>
          <w:color w:val="334155"/>
          <w:sz w:val="22"/>
        </w:rPr>
        <w:t xml:space="preserve">Nachfolgende Matrix fasst die gesamte Prozesskette der WOBAK zusammen. Sie trennt strikt zwischen unumgänglicher Pflicht und operativer Kür:</w:t>
      </w:r>
    </w:p>
    <w:tbl>
      <w:tblPr>
        <w:tblW w:w="9200" w:type="dxa"/>
        <w:tblBorders>
          <w:top w:val="single" w:sz="6" w:space="0" w:color="CBD5E1"/>
          <w:bottom w:val="single" w:sz="6" w:space="0" w:color="CBD5E1"/>
          <w:insideH w:val="single" w:sz="4" w:space="0" w:color="E2E8F0"/>
          <w:insideV w:val="none"/>
          <w:left w:val="none"/>
          <w:right w:val="none"/>
        </w:tblBorders>
      </w:tblPr>
      <w:tblGrid>
        <w:gridCol w:w="2000"/>
        <w:gridCol w:w="2200"/>
        <w:gridCol w:w="2800"/>
        <w:gridCol w:w="2200"/>
      </w:tblGrid>
      <w:tr>
        <w:tc>
          <w:tcPr>
            <w:tcW w:w="2000" w:type="dxa"/>
            <w:shd w:val="clear" w:color="auto" w:fill="F1F5F9"/>
            <w:tcMar>
              <w:top w:w="120"/>
              <w:bottom w:w="120"/>
              <w:left w:w="140"/>
              <w:right w:w="140"/>
            </w:tcMar>
          </w:tcPr>
          <w:p>
            <w:pPr>
              <w:spacing w:after="0"/>
            </w:pPr>
            <w:r>
              <w:rPr>
                <w:rFonts w:ascii="Calibri" w:hAnsi="Calibri"/>
                <w:b/>
                <w:sz w:val="21"/>
                <w:color w:val="0F172A"/>
              </w:rPr>
              <w:t xml:space="preserve">Phase / Meilenstein</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Zuständigkeit</w:t>
            </w:r>
          </w:p>
        </w:tc>
        <w:tc>
          <w:tcPr>
            <w:tcW w:w="2800" w:type="dxa"/>
            <w:shd w:val="clear" w:color="auto" w:fill="F1F5F9"/>
            <w:tcMar>
              <w:top w:w="120"/>
              <w:bottom w:w="120"/>
              <w:left w:w="140"/>
              <w:right w:w="140"/>
            </w:tcMar>
          </w:tcPr>
          <w:p>
            <w:pPr>
              <w:spacing w:after="0"/>
            </w:pPr>
            <w:r>
              <w:rPr>
                <w:rFonts w:ascii="Calibri" w:hAnsi="Calibri"/>
                <w:b/>
                <w:sz w:val="21"/>
                <w:color w:val="0F172A"/>
              </w:rPr>
              <w:t xml:space="preserve">Kern-Aktivität &amp; Methode</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Verbindliches Ergebnis / Artefakt</w:t>
            </w:r>
          </w:p>
        </w:tc>
      </w:tr>
      <w:tr>
        <w:tc>
          <w:tcPr>
            <w:tcW w:w="2000" w:type="dxa"/>
            <w:tcMar>
              <w:top w:w="120"/>
              <w:bottom w:w="120"/>
              <w:left w:w="140"/>
              <w:right w:w="140"/>
            </w:tcMar>
          </w:tcPr>
          <w:p>
            <w:pPr>
              <w:spacing w:after="0"/>
            </w:pPr>
            <w:r>
              <w:rPr>
                <w:rFonts w:ascii="Calibri" w:hAnsi="Calibri"/>
                <w:sz w:val="20"/>
                <w:color w:val="334155"/>
              </w:rPr>
              <w:t xml:space="preserve">0. Grundstück &amp; Baurecht</w:t>
            </w:r>
          </w:p>
        </w:tc>
        <w:tc>
          <w:tcPr>
            <w:tcW w:w="2200" w:type="dxa"/>
            <w:tcMar>
              <w:top w:w="120"/>
              <w:bottom w:w="120"/>
              <w:left w:w="140"/>
              <w:right w:w="140"/>
            </w:tcMar>
          </w:tcPr>
          <w:p>
            <w:pPr>
              <w:spacing w:after="0"/>
            </w:pPr>
            <w:r>
              <w:rPr>
                <w:rFonts w:ascii="Calibri" w:hAnsi="Calibri"/>
                <w:sz w:val="20"/>
                <w:color w:val="334155"/>
              </w:rPr>
              <w:t xml:space="preserve">Herr Götsch (GF), Bauleitung, Architekt</w:t>
            </w:r>
          </w:p>
        </w:tc>
        <w:tc>
          <w:tcPr>
            <w:tcW w:w="2800" w:type="dxa"/>
            <w:tcMar>
              <w:top w:w="120"/>
              <w:bottom w:w="120"/>
              <w:left w:w="140"/>
              <w:right w:w="140"/>
            </w:tcMar>
          </w:tcPr>
          <w:p>
            <w:pPr>
              <w:spacing w:after="0"/>
            </w:pPr>
            <w:r>
              <w:rPr>
                <w:rFonts w:ascii="Calibri" w:hAnsi="Calibri"/>
                <w:sz w:val="20"/>
                <w:color w:val="334155"/>
              </w:rPr>
              <w:t xml:space="preserve">§ 34 BauGB Prüfung, Vorentwurf, Testkubatur</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Beschlussvorlage: GO (Ankauf) oder DISCARD</w:t>
            </w:r>
          </w:p>
        </w:tc>
      </w:tr>
      <w:tr>
        <w:tc>
          <w:tcPr>
            <w:tcW w:w="2000" w:type="dxa"/>
            <w:tcMar>
              <w:top w:w="120"/>
              <w:bottom w:w="120"/>
              <w:left w:w="140"/>
              <w:right w:w="140"/>
            </w:tcMar>
          </w:tcPr>
          <w:p>
            <w:pPr>
              <w:spacing w:after="0"/>
            </w:pPr>
            <w:r>
              <w:rPr>
                <w:rFonts w:ascii="Calibri" w:hAnsi="Calibri"/>
                <w:sz w:val="20"/>
                <w:color w:val="334155"/>
              </w:rPr>
              <w:t xml:space="preserve">1. Baukostenschätzung</w:t>
            </w:r>
          </w:p>
        </w:tc>
        <w:tc>
          <w:tcPr>
            <w:tcW w:w="2200" w:type="dxa"/>
            <w:tcMar>
              <w:top w:w="120"/>
              <w:bottom w:w="120"/>
              <w:left w:w="140"/>
              <w:right w:w="140"/>
            </w:tcMar>
          </w:tcPr>
          <w:p>
            <w:pPr>
              <w:spacing w:after="0"/>
            </w:pPr>
            <w:r>
              <w:rPr>
                <w:rFonts w:ascii="Calibri" w:hAnsi="Calibri"/>
                <w:sz w:val="20"/>
                <w:color w:val="334155"/>
              </w:rPr>
              <w:t xml:space="preserve">Bauleitung / Projektsteuerung</w:t>
            </w:r>
          </w:p>
        </w:tc>
        <w:tc>
          <w:tcPr>
            <w:tcW w:w="2800" w:type="dxa"/>
            <w:tcMar>
              <w:top w:w="120"/>
              <w:bottom w:w="120"/>
              <w:left w:w="140"/>
              <w:right w:w="140"/>
            </w:tcMar>
          </w:tcPr>
          <w:p>
            <w:pPr>
              <w:spacing w:after="0"/>
            </w:pPr>
            <w:r>
              <w:rPr>
                <w:rFonts w:ascii="Calibri" w:hAnsi="Calibri"/>
                <w:sz w:val="20"/>
                <w:color w:val="334155"/>
              </w:rPr>
              <w:t xml:space="preserve">2-Wege-Verfahren (WF + BRI), Baupreisindex (+10%)</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Gesamt-Schätzpreis (DIN 276 Stufe 1)</w:t>
            </w:r>
          </w:p>
        </w:tc>
      </w:tr>
      <w:tr>
        <w:tc>
          <w:tcPr>
            <w:tcW w:w="2000" w:type="dxa"/>
            <w:tcMar>
              <w:top w:w="120"/>
              <w:bottom w:w="120"/>
              <w:left w:w="140"/>
              <w:right w:w="140"/>
            </w:tcMar>
          </w:tcPr>
          <w:p>
            <w:pPr>
              <w:spacing w:after="0"/>
            </w:pPr>
            <w:r>
              <w:rPr>
                <w:rFonts w:ascii="Calibri" w:hAnsi="Calibri"/>
                <w:sz w:val="20"/>
                <w:color w:val="334155"/>
              </w:rPr>
              <w:t xml:space="preserve">2. Gewerke-Matrix</w:t>
            </w:r>
          </w:p>
        </w:tc>
        <w:tc>
          <w:tcPr>
            <w:tcW w:w="2200" w:type="dxa"/>
            <w:tcMar>
              <w:top w:w="120"/>
              <w:bottom w:w="120"/>
              <w:left w:w="140"/>
              <w:right w:w="140"/>
            </w:tcMar>
          </w:tcPr>
          <w:p>
            <w:pPr>
              <w:spacing w:after="0"/>
            </w:pPr>
            <w:r>
              <w:rPr>
                <w:rFonts w:ascii="Calibri" w:hAnsi="Calibri"/>
                <w:sz w:val="20"/>
                <w:color w:val="334155"/>
              </w:rPr>
              <w:t xml:space="preserve">Bauleitung / AVA</w:t>
            </w:r>
          </w:p>
        </w:tc>
        <w:tc>
          <w:tcPr>
            <w:tcW w:w="2800" w:type="dxa"/>
            <w:tcMar>
              <w:top w:w="120"/>
              <w:bottom w:w="120"/>
              <w:left w:w="140"/>
              <w:right w:w="140"/>
            </w:tcMar>
          </w:tcPr>
          <w:p>
            <w:pPr>
              <w:spacing w:after="0"/>
            </w:pPr>
            <w:r>
              <w:rPr>
                <w:rFonts w:ascii="Calibri" w:hAnsi="Calibri"/>
                <w:sz w:val="20"/>
                <w:color w:val="334155"/>
              </w:rPr>
              <w:t xml:space="preserve">Verteilung auf Gewerke (Rohbau 39%), n:m-Auflösung</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Gewerke-Kostenbudget &amp; Bank-Matrix</w:t>
            </w:r>
          </w:p>
        </w:tc>
      </w:tr>
      <w:tr>
        <w:tc>
          <w:tcPr>
            <w:tcW w:w="2000" w:type="dxa"/>
            <w:tcMar>
              <w:top w:w="120"/>
              <w:bottom w:w="120"/>
              <w:left w:w="140"/>
              <w:right w:w="140"/>
            </w:tcMar>
          </w:tcPr>
          <w:p>
            <w:pPr>
              <w:spacing w:after="0"/>
            </w:pPr>
            <w:r>
              <w:rPr>
                <w:rFonts w:ascii="Calibri" w:hAnsi="Calibri"/>
                <w:sz w:val="20"/>
                <w:color w:val="334155"/>
              </w:rPr>
              <w:t xml:space="preserve">3. Wirtschaftlichkeit</w:t>
            </w:r>
          </w:p>
        </w:tc>
        <w:tc>
          <w:tcPr>
            <w:tcW w:w="2200" w:type="dxa"/>
            <w:tcMar>
              <w:top w:w="120"/>
              <w:bottom w:w="120"/>
              <w:left w:w="140"/>
              <w:right w:w="140"/>
            </w:tcMar>
          </w:tcPr>
          <w:p>
            <w:pPr>
              <w:spacing w:after="0"/>
            </w:pPr>
            <w:r>
              <w:rPr>
                <w:rFonts w:ascii="Calibri" w:hAnsi="Calibri"/>
                <w:sz w:val="20"/>
                <w:color w:val="334155"/>
              </w:rPr>
              <w:t xml:space="preserve">Geschäftsführung (Götsch)</w:t>
            </w:r>
          </w:p>
        </w:tc>
        <w:tc>
          <w:tcPr>
            <w:tcW w:w="2800" w:type="dxa"/>
            <w:tcMar>
              <w:top w:w="120"/>
              <w:bottom w:w="120"/>
              <w:left w:w="140"/>
              <w:right w:w="140"/>
            </w:tcMar>
          </w:tcPr>
          <w:p>
            <w:pPr>
              <w:spacing w:after="0"/>
            </w:pPr>
            <w:r>
              <w:rPr>
                <w:rFonts w:ascii="Calibri" w:hAnsi="Calibri"/>
                <w:sz w:val="20"/>
                <w:color w:val="334155"/>
              </w:rPr>
              <w:t xml:space="preserve">50J AfA-Kurve, 5% Mindestrendite, EH 40 Fördermittel</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Soll-Mietansatz (ca. 20 €/m² Kaltmiete)</w:t>
            </w:r>
          </w:p>
        </w:tc>
      </w:tr>
      <w:tr>
        <w:tc>
          <w:tcPr>
            <w:tcW w:w="2000" w:type="dxa"/>
            <w:tcMar>
              <w:top w:w="120"/>
              <w:bottom w:w="120"/>
              <w:left w:w="140"/>
              <w:right w:w="140"/>
            </w:tcMar>
          </w:tcPr>
          <w:p>
            <w:pPr>
              <w:spacing w:after="0"/>
            </w:pPr>
            <w:r>
              <w:rPr>
                <w:rFonts w:ascii="Calibri" w:hAnsi="Calibri"/>
                <w:sz w:val="20"/>
                <w:color w:val="334155"/>
              </w:rPr>
              <w:t xml:space="preserve">4. Vergabe &amp; Vertrag</w:t>
            </w:r>
          </w:p>
        </w:tc>
        <w:tc>
          <w:tcPr>
            <w:tcW w:w="2200" w:type="dxa"/>
            <w:tcMar>
              <w:top w:w="120"/>
              <w:bottom w:w="120"/>
              <w:left w:w="140"/>
              <w:right w:w="140"/>
            </w:tcMar>
          </w:tcPr>
          <w:p>
            <w:pPr>
              <w:spacing w:after="0"/>
            </w:pPr>
            <w:r>
              <w:rPr>
                <w:rFonts w:ascii="Calibri" w:hAnsi="Calibri"/>
                <w:sz w:val="20"/>
                <w:color w:val="334155"/>
              </w:rPr>
              <w:t xml:space="preserve">Giro &amp; Fast (Submission), Frau Tischer (Vertrag)</w:t>
            </w:r>
          </w:p>
        </w:tc>
        <w:tc>
          <w:tcPr>
            <w:tcW w:w="2800" w:type="dxa"/>
            <w:tcMar>
              <w:top w:w="120"/>
              <w:bottom w:w="120"/>
              <w:left w:w="140"/>
              <w:right w:w="140"/>
            </w:tcMar>
          </w:tcPr>
          <w:p>
            <w:pPr>
              <w:spacing w:after="0"/>
            </w:pPr>
            <w:r>
              <w:rPr>
                <w:rFonts w:ascii="Calibri" w:hAnsi="Calibri"/>
                <w:sz w:val="20"/>
                <w:color w:val="334155"/>
              </w:rPr>
              <w:t xml:space="preserve">VOB/A Ausschreibung, Schutzgebühr, Preisspiegel</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Bauwerkvertrag mit 7,5‰ Umlagen &amp; Obligo</w:t>
            </w:r>
          </w:p>
        </w:tc>
      </w:tr>
      <w:tr>
        <w:tc>
          <w:tcPr>
            <w:tcW w:w="2000" w:type="dxa"/>
            <w:tcMar>
              <w:top w:w="120"/>
              <w:bottom w:w="120"/>
              <w:left w:w="140"/>
              <w:right w:w="140"/>
            </w:tcMar>
          </w:tcPr>
          <w:p>
            <w:pPr>
              <w:spacing w:after="0"/>
            </w:pPr>
            <w:r>
              <w:rPr>
                <w:rFonts w:ascii="Calibri" w:hAnsi="Calibri"/>
                <w:sz w:val="20"/>
                <w:color w:val="334155"/>
              </w:rPr>
              <w:t xml:space="preserve">5. Baucontrolling</w:t>
            </w:r>
          </w:p>
        </w:tc>
        <w:tc>
          <w:tcPr>
            <w:tcW w:w="2200" w:type="dxa"/>
            <w:tcMar>
              <w:top w:w="120"/>
              <w:bottom w:w="120"/>
              <w:left w:w="140"/>
              <w:right w:w="140"/>
            </w:tcMar>
          </w:tcPr>
          <w:p>
            <w:pPr>
              <w:spacing w:after="0"/>
            </w:pPr>
            <w:r>
              <w:rPr>
                <w:rFonts w:ascii="Calibri" w:hAnsi="Calibri"/>
                <w:sz w:val="20"/>
                <w:color w:val="334155"/>
              </w:rPr>
              <w:t xml:space="preserve">Herr von Bischopinck (Bauleitung)</w:t>
            </w:r>
          </w:p>
        </w:tc>
        <w:tc>
          <w:tcPr>
            <w:tcW w:w="2800" w:type="dxa"/>
            <w:tcMar>
              <w:top w:w="120"/>
              <w:bottom w:w="120"/>
              <w:left w:w="140"/>
              <w:right w:w="140"/>
            </w:tcMar>
          </w:tcPr>
          <w:p>
            <w:pPr>
              <w:spacing w:after="0"/>
            </w:pPr>
            <w:r>
              <w:rPr>
                <w:rFonts w:ascii="Calibri" w:hAnsi="Calibri"/>
                <w:sz w:val="20"/>
                <w:color w:val="334155"/>
              </w:rPr>
              <w:t xml:space="preserve">3–4 Kostenschnitte: Bezahlt + Obligo + Forecast</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Frühwarn-Forecast vor Budgetüberschreitung</w:t>
            </w:r>
          </w:p>
        </w:tc>
      </w:tr>
      <w:tr>
        <w:tc>
          <w:tcPr>
            <w:tcW w:w="2000" w:type="dxa"/>
            <w:tcMar>
              <w:top w:w="120"/>
              <w:bottom w:w="120"/>
              <w:left w:w="140"/>
              <w:right w:w="140"/>
            </w:tcMar>
          </w:tcPr>
          <w:p>
            <w:pPr>
              <w:spacing w:after="0"/>
            </w:pPr>
            <w:r>
              <w:rPr>
                <w:rFonts w:ascii="Calibri" w:hAnsi="Calibri"/>
                <w:sz w:val="20"/>
                <w:color w:val="334155"/>
              </w:rPr>
              <w:t xml:space="preserve">6. Rechnungsprüfung</w:t>
            </w:r>
          </w:p>
        </w:tc>
        <w:tc>
          <w:tcPr>
            <w:tcW w:w="2200" w:type="dxa"/>
            <w:tcMar>
              <w:top w:w="120"/>
              <w:bottom w:w="120"/>
              <w:left w:w="140"/>
              <w:right w:w="140"/>
            </w:tcMar>
          </w:tcPr>
          <w:p>
            <w:pPr>
              <w:spacing w:after="0"/>
            </w:pPr>
            <w:r>
              <w:rPr>
                <w:rFonts w:ascii="Calibri" w:hAnsi="Calibri"/>
                <w:sz w:val="20"/>
                <w:color w:val="334155"/>
              </w:rPr>
              <w:t xml:space="preserve">Bauleitung &amp; Sachbearbeitung</w:t>
            </w:r>
          </w:p>
        </w:tc>
        <w:tc>
          <w:tcPr>
            <w:tcW w:w="2800" w:type="dxa"/>
            <w:tcMar>
              <w:top w:w="120"/>
              <w:bottom w:w="120"/>
              <w:left w:w="140"/>
              <w:right w:w="140"/>
            </w:tcMar>
          </w:tcPr>
          <w:p>
            <w:pPr>
              <w:spacing w:after="0"/>
            </w:pPr>
            <w:r>
              <w:rPr>
                <w:rFonts w:ascii="Calibri" w:hAnsi="Calibri"/>
                <w:sz w:val="20"/>
                <w:color w:val="334155"/>
              </w:rPr>
              <w:t xml:space="preserve">Förmliche Abnahme (§ 12 VOB), KEV 311 Prüfung</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Freigabe Schlussrechnung &amp; Bürgschaftsbuch</w:t>
            </w:r>
          </w:p>
        </w:tc>
      </w:tr>
      <w:tr>
        <w:tc>
          <w:tcPr>
            <w:tcW w:w="2000" w:type="dxa"/>
            <w:tcMar>
              <w:top w:w="120"/>
              <w:bottom w:w="120"/>
              <w:left w:w="140"/>
              <w:right w:w="140"/>
            </w:tcMar>
          </w:tcPr>
          <w:p>
            <w:pPr>
              <w:spacing w:after="0"/>
            </w:pPr>
            <w:r>
              <w:rPr>
                <w:rFonts w:ascii="Calibri" w:hAnsi="Calibri"/>
                <w:sz w:val="20"/>
                <w:color w:val="334155"/>
              </w:rPr>
              <w:t xml:space="preserve">7. Closed Loopback</w:t>
            </w:r>
          </w:p>
        </w:tc>
        <w:tc>
          <w:tcPr>
            <w:tcW w:w="2200" w:type="dxa"/>
            <w:tcMar>
              <w:top w:w="120"/>
              <w:bottom w:w="120"/>
              <w:left w:w="140"/>
              <w:right w:w="140"/>
            </w:tcMar>
          </w:tcPr>
          <w:p>
            <w:pPr>
              <w:spacing w:after="0"/>
            </w:pPr>
            <w:r>
              <w:rPr>
                <w:rFonts w:ascii="Calibri" w:hAnsi="Calibri"/>
                <w:sz w:val="20"/>
                <w:color w:val="334155"/>
              </w:rPr>
              <w:t xml:space="preserve">Geschäftsführung &amp; Controlling</w:t>
            </w:r>
          </w:p>
        </w:tc>
        <w:tc>
          <w:tcPr>
            <w:tcW w:w="2800" w:type="dxa"/>
            <w:tcMar>
              <w:top w:w="120"/>
              <w:bottom w:w="120"/>
              <w:left w:w="140"/>
              <w:right w:w="140"/>
            </w:tcMar>
          </w:tcPr>
          <w:p>
            <w:pPr>
              <w:spacing w:after="0"/>
            </w:pPr>
            <w:r>
              <w:rPr>
                <w:rFonts w:ascii="Calibri" w:hAnsi="Calibri"/>
                <w:sz w:val="20"/>
                <w:color w:val="334155"/>
              </w:rPr>
              <w:t xml:space="preserve">Saldenliste je 100er-Gruppe, Kennwert-Rückfluss</w:t>
            </w:r>
          </w:p>
        </w:tc>
        <w:tc>
          <w:tcPr>
            <w:tcW w:w="2200" w:type="dxa"/>
            <w:shd w:val="clear" w:color="auto" w:fill="F1F5F9"/>
            <w:tcMar>
              <w:top w:w="120"/>
              <w:bottom w:w="120"/>
              <w:left w:w="140"/>
              <w:right w:w="140"/>
            </w:tcMar>
          </w:tcPr>
          <w:p>
            <w:pPr>
              <w:spacing w:after="0"/>
            </w:pPr>
            <w:r>
              <w:rPr>
                <w:rFonts w:ascii="Calibri" w:hAnsi="Calibri"/>
                <w:b/>
                <w:sz w:val="21"/>
                <w:color w:val="0F172A"/>
              </w:rPr>
              <w:t xml:space="preserve">Aktualisierte Referenzdatenbank für Folgeprojekte</w:t>
            </w:r>
          </w:p>
        </w:tc>
      </w:tr>
    </w:tbl>
    <w:p>
      <w:pPr>
        <w:spacing w:before="0" w:after="200" w:line="260" w:lineRule="auto"/>
      </w:pPr>
      <w:r>
        <w:rPr>
          <w:rFonts w:ascii="Calibri" w:hAnsi="Calibri"/>
          <w:color w:val="334155"/>
          <w:sz w:val="22"/>
        </w:rPr>
        <w:t xml:space="preserve"/>
      </w:r>
    </w:p>
    <w:p>
      <w:pPr>
        <w:jc w:val="center"/>
        <w:spacing w:before="0" w:after="120" w:line="260" w:lineRule="auto"/>
      </w:pPr>
      <w:r>
        <w:rPr>
          <w:rFonts w:ascii="Calibri" w:hAnsi="Calibri"/>
          <w:i/>
          <w:color w:val="64748B"/>
          <w:sz w:val="18"/>
        </w:rPr>
        <w:t xml:space="preserve">Dokument-Status: Vollständig verifiziert · Verfahrensrichtlinie des Technischen Baucontrollings · Städtische Wohnungsbaugesellschaft Konstanz mbH (WOBAK)</w:t>
      </w:r>
    </w:p>
    <w:sectPr>
      <w:pgSz w:w="11906" w:h="16838"/>
      <w:pgMar w:top="1440" w:right="1440" w:bottom="1440" w:left="1440"/>
    </w:sectPr>
  </w:body>
</w:document>
</file>

<file path=word/_rels/document.xml.rels><?xml version="1.0" encoding="UTF-8" standalone="yes"?>
<Relationships xmlns="http://schemas.openxmlformats.org/package/2006/relationships">
</Relationships>
</file>