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Uruhu Website Developer Change Brief</w:t>
      </w:r>
    </w:p>
    <w:p>
      <w:pPr>
        <w:pStyle w:val="Subtitle"/>
      </w:pPr>
      <w:r>
        <w:t>About and Services pages  |  26 September 2026</w:t>
      </w:r>
    </w:p>
    <w:p>
      <w:r>
        <w:t>To the website developer: Please update the existing About and Services pages using the copy and implementation notes below. Preserve the current layout and official Uruhu Solutions logo. The priority is to show business advisory as a core service, explain funding preparation accurately, strengthen risk advisory, and remove claims that could misrepresent the firm’s history or regulatory scope.</w:t>
      </w:r>
    </w:p>
    <w:p>
      <w:pPr>
        <w:pStyle w:val="Heading1"/>
      </w:pPr>
      <w:r>
        <w:t>Implementation priorities</w:t>
      </w:r>
    </w:p>
    <w:tbl>
      <w:tblPr>
        <w:tblW w:type="auto" w:w="0"/>
        <w:jc w:val="center"/>
        <w:tblLayout w:type="fixed"/>
        <w:tblLook w:firstColumn="1" w:firstRow="1" w:lastColumn="0" w:lastRow="0" w:noHBand="0" w:noVBand="1" w:val="04A0"/>
      </w:tblPr>
      <w:tblGrid>
        <w:gridCol w:w="1440"/>
        <w:gridCol w:w="8352"/>
      </w:tblGrid>
      <w:tr>
        <w:tc>
          <w:tcPr>
            <w:tcW w:type="dxa" w:w="4939"/>
            <w:shd w:fill="3E6F7D"/>
            <w:tcBorders>
              <w:top w:val="single" w:sz="4" w:color="D9D9D9"/>
              <w:left w:val="single" w:sz="4" w:color="D9D9D9"/>
              <w:bottom w:val="single" w:sz="4" w:color="D9D9D9"/>
              <w:right w:val="single" w:sz="4" w:color="D9D9D9"/>
            </w:tcBorders>
          </w:tcPr>
          <w:p>
            <w:r>
              <w:rPr>
                <w:b/>
                <w:color w:val="FFFFFF"/>
                <w:sz w:val="18"/>
              </w:rPr>
              <w:t>Priority</w:t>
            </w:r>
          </w:p>
        </w:tc>
        <w:tc>
          <w:tcPr>
            <w:tcW w:type="dxa" w:w="4939"/>
            <w:shd w:fill="3E6F7D"/>
            <w:tcBorders>
              <w:top w:val="single" w:sz="4" w:color="D9D9D9"/>
              <w:left w:val="single" w:sz="4" w:color="D9D9D9"/>
              <w:bottom w:val="single" w:sz="4" w:color="D9D9D9"/>
              <w:right w:val="single" w:sz="4" w:color="D9D9D9"/>
            </w:tcBorders>
          </w:tcPr>
          <w:p>
            <w:r>
              <w:rPr>
                <w:b/>
                <w:color w:val="FFFFFF"/>
                <w:sz w:val="18"/>
              </w:rPr>
              <w:t>Change</w:t>
            </w:r>
          </w:p>
        </w:tc>
      </w:tr>
      <w:tr>
        <w:tc>
          <w:tcPr>
            <w:tcW w:type="dxa" w:w="1440"/>
            <w:tcBorders>
              <w:top w:val="single" w:sz="4" w:color="D9D9D9"/>
              <w:left w:val="single" w:sz="4" w:color="D9D9D9"/>
              <w:bottom w:val="single" w:sz="4" w:color="D9D9D9"/>
              <w:right w:val="single" w:sz="4" w:color="D9D9D9"/>
            </w:tcBorders>
            <w:vAlign w:val="center"/>
          </w:tcPr>
          <w:p>
            <w:pPr>
              <w:spacing w:after="40"/>
            </w:pPr>
            <w:r>
              <w:rPr>
                <w:sz w:val="18"/>
              </w:rPr>
              <w:t>1</w:t>
            </w:r>
          </w:p>
        </w:tc>
        <w:tc>
          <w:tcPr>
            <w:tcW w:type="dxa" w:w="8352"/>
            <w:tcBorders>
              <w:top w:val="single" w:sz="4" w:color="D9D9D9"/>
              <w:left w:val="single" w:sz="4" w:color="D9D9D9"/>
              <w:bottom w:val="single" w:sz="4" w:color="D9D9D9"/>
              <w:right w:val="single" w:sz="4" w:color="D9D9D9"/>
            </w:tcBorders>
            <w:vAlign w:val="center"/>
          </w:tcPr>
          <w:p>
            <w:pPr>
              <w:spacing w:after="40"/>
            </w:pPr>
            <w:r>
              <w:rPr>
                <w:sz w:val="18"/>
              </w:rPr>
              <w:t>Remove “10+ Years of Excellence” and “Proven Track Record” unless Uruhu confirms evidence for these firm-level claims.</w:t>
            </w:r>
          </w:p>
        </w:tc>
      </w:tr>
      <w:tr>
        <w:tc>
          <w:tcPr>
            <w:tcW w:type="dxa" w:w="1440"/>
            <w:tcBorders>
              <w:top w:val="single" w:sz="4" w:color="D9D9D9"/>
              <w:left w:val="single" w:sz="4" w:color="D9D9D9"/>
              <w:bottom w:val="single" w:sz="4" w:color="D9D9D9"/>
              <w:right w:val="single" w:sz="4" w:color="D9D9D9"/>
            </w:tcBorders>
            <w:vAlign w:val="center"/>
            <w:shd w:fill="F2F6F7"/>
          </w:tcPr>
          <w:p>
            <w:pPr>
              <w:spacing w:after="40"/>
            </w:pPr>
            <w:r>
              <w:rPr>
                <w:sz w:val="18"/>
              </w:rPr>
              <w:t>2</w:t>
            </w:r>
          </w:p>
        </w:tc>
        <w:tc>
          <w:tcPr>
            <w:tcW w:type="dxa" w:w="8352"/>
            <w:tcBorders>
              <w:top w:val="single" w:sz="4" w:color="D9D9D9"/>
              <w:left w:val="single" w:sz="4" w:color="D9D9D9"/>
              <w:bottom w:val="single" w:sz="4" w:color="D9D9D9"/>
              <w:right w:val="single" w:sz="4" w:color="D9D9D9"/>
            </w:tcBorders>
            <w:vAlign w:val="center"/>
            <w:shd w:fill="F2F6F7"/>
          </w:tcPr>
          <w:p>
            <w:pPr>
              <w:spacing w:after="40"/>
            </w:pPr>
            <w:r>
              <w:rPr>
                <w:sz w:val="18"/>
              </w:rPr>
              <w:t>Add Business Advisory &amp; Solutions as the first service. Rework Funding and Risk copy as provided.</w:t>
            </w:r>
          </w:p>
        </w:tc>
      </w:tr>
      <w:tr>
        <w:tc>
          <w:tcPr>
            <w:tcW w:type="dxa" w:w="1440"/>
            <w:tcBorders>
              <w:top w:val="single" w:sz="4" w:color="D9D9D9"/>
              <w:left w:val="single" w:sz="4" w:color="D9D9D9"/>
              <w:bottom w:val="single" w:sz="4" w:color="D9D9D9"/>
              <w:right w:val="single" w:sz="4" w:color="D9D9D9"/>
            </w:tcBorders>
            <w:vAlign w:val="center"/>
          </w:tcPr>
          <w:p>
            <w:pPr>
              <w:spacing w:after="40"/>
            </w:pPr>
            <w:r>
              <w:rPr>
                <w:sz w:val="18"/>
              </w:rPr>
              <w:t>3</w:t>
            </w:r>
          </w:p>
        </w:tc>
        <w:tc>
          <w:tcPr>
            <w:tcW w:type="dxa" w:w="8352"/>
            <w:tcBorders>
              <w:top w:val="single" w:sz="4" w:color="D9D9D9"/>
              <w:left w:val="single" w:sz="4" w:color="D9D9D9"/>
              <w:bottom w:val="single" w:sz="4" w:color="D9D9D9"/>
              <w:right w:val="single" w:sz="4" w:color="D9D9D9"/>
            </w:tcBorders>
            <w:vAlign w:val="center"/>
          </w:tcPr>
          <w:p>
            <w:pPr>
              <w:spacing w:after="40"/>
            </w:pPr>
            <w:r>
              <w:rPr>
                <w:sz w:val="18"/>
              </w:rPr>
              <w:t>Remove Portfolio &amp; Asset Management wording and performance claims. Hold the proposed investment advisory section for approval of the firm’s regulatory scope.</w:t>
            </w:r>
          </w:p>
        </w:tc>
      </w:tr>
      <w:tr>
        <w:tc>
          <w:tcPr>
            <w:tcW w:type="dxa" w:w="1440"/>
            <w:tcBorders>
              <w:top w:val="single" w:sz="4" w:color="D9D9D9"/>
              <w:left w:val="single" w:sz="4" w:color="D9D9D9"/>
              <w:bottom w:val="single" w:sz="4" w:color="D9D9D9"/>
              <w:right w:val="single" w:sz="4" w:color="D9D9D9"/>
            </w:tcBorders>
            <w:vAlign w:val="center"/>
            <w:shd w:fill="F2F6F7"/>
          </w:tcPr>
          <w:p>
            <w:pPr>
              <w:spacing w:after="40"/>
            </w:pPr>
            <w:r>
              <w:rPr>
                <w:sz w:val="18"/>
              </w:rPr>
              <w:t>4</w:t>
            </w:r>
          </w:p>
        </w:tc>
        <w:tc>
          <w:tcPr>
            <w:tcW w:type="dxa" w:w="8352"/>
            <w:tcBorders>
              <w:top w:val="single" w:sz="4" w:color="D9D9D9"/>
              <w:left w:val="single" w:sz="4" w:color="D9D9D9"/>
              <w:bottom w:val="single" w:sz="4" w:color="D9D9D9"/>
              <w:right w:val="single" w:sz="4" w:color="D9D9D9"/>
            </w:tcBorders>
            <w:vAlign w:val="center"/>
            <w:shd w:fill="F2F6F7"/>
          </w:tcPr>
          <w:p>
            <w:pPr>
              <w:spacing w:after="40"/>
            </w:pPr>
            <w:r>
              <w:rPr>
                <w:sz w:val="18"/>
              </w:rPr>
              <w:t>Update the About page positioning, story, differentiators, audience and closing call to action.</w:t>
            </w:r>
          </w:p>
        </w:tc>
      </w:tr>
    </w:tbl>
    <w:p>
      <w:pPr>
        <w:spacing w:after="0"/>
      </w:pPr>
    </w:p>
    <w:p>
      <w:pPr>
        <w:pStyle w:val="Smallnote"/>
      </w:pPr>
      <w:r>
        <w:t>Text under “Approved replacement copy” is ready to paste. The final investment-related section is expressly subject to Uruhu’s approval before publication.</w:t>
      </w:r>
    </w:p>
    <w:p>
      <w:pPr>
        <w:pStyle w:val="Heading1"/>
      </w:pPr>
      <w:r>
        <w:t>About page</w:t>
      </w:r>
    </w:p>
    <w:p>
      <w:pPr>
        <w:pStyle w:val="Heading2"/>
      </w:pPr>
      <w:r>
        <w:t>Changes to the existing page</w:t>
      </w:r>
    </w:p>
    <w:tbl>
      <w:tblPr>
        <w:tblW w:type="auto" w:w="0"/>
        <w:jc w:val="center"/>
        <w:tblLayout w:type="fixed"/>
        <w:tblLook w:firstColumn="1" w:firstRow="1" w:lastColumn="0" w:lastRow="0" w:noHBand="0" w:noVBand="1" w:val="04A0"/>
      </w:tblPr>
      <w:tblGrid>
        <w:gridCol w:w="3528"/>
        <w:gridCol w:w="6264"/>
      </w:tblGrid>
      <w:tr>
        <w:tc>
          <w:tcPr>
            <w:tcW w:type="dxa" w:w="4939"/>
            <w:shd w:fill="3E6F7D"/>
            <w:tcBorders>
              <w:top w:val="single" w:sz="4" w:color="D9D9D9"/>
              <w:left w:val="single" w:sz="4" w:color="D9D9D9"/>
              <w:bottom w:val="single" w:sz="4" w:color="D9D9D9"/>
              <w:right w:val="single" w:sz="4" w:color="D9D9D9"/>
            </w:tcBorders>
          </w:tcPr>
          <w:p>
            <w:r>
              <w:rPr>
                <w:b/>
                <w:color w:val="FFFFFF"/>
                <w:sz w:val="18"/>
              </w:rPr>
              <w:t>Current element</w:t>
            </w:r>
          </w:p>
        </w:tc>
        <w:tc>
          <w:tcPr>
            <w:tcW w:type="dxa" w:w="4939"/>
            <w:shd w:fill="3E6F7D"/>
            <w:tcBorders>
              <w:top w:val="single" w:sz="4" w:color="D9D9D9"/>
              <w:left w:val="single" w:sz="4" w:color="D9D9D9"/>
              <w:bottom w:val="single" w:sz="4" w:color="D9D9D9"/>
              <w:right w:val="single" w:sz="4" w:color="D9D9D9"/>
            </w:tcBorders>
          </w:tcPr>
          <w:p>
            <w:r>
              <w:rPr>
                <w:b/>
                <w:color w:val="FFFFFF"/>
                <w:sz w:val="18"/>
              </w:rPr>
              <w:t>Developer action</w:t>
            </w:r>
          </w:p>
        </w:tc>
      </w:tr>
      <w:tr>
        <w:tc>
          <w:tcPr>
            <w:tcW w:type="dxa" w:w="3528"/>
            <w:tcBorders>
              <w:top w:val="single" w:sz="4" w:color="D9D9D9"/>
              <w:left w:val="single" w:sz="4" w:color="D9D9D9"/>
              <w:bottom w:val="single" w:sz="4" w:color="D9D9D9"/>
              <w:right w:val="single" w:sz="4" w:color="D9D9D9"/>
            </w:tcBorders>
            <w:vAlign w:val="center"/>
          </w:tcPr>
          <w:p>
            <w:pPr>
              <w:spacing w:after="40"/>
            </w:pPr>
            <w:r>
              <w:rPr>
                <w:sz w:val="18"/>
              </w:rPr>
              <w:t>About Uruhu Solutions</w:t>
            </w:r>
          </w:p>
        </w:tc>
        <w:tc>
          <w:tcPr>
            <w:tcW w:type="dxa" w:w="6264"/>
            <w:tcBorders>
              <w:top w:val="single" w:sz="4" w:color="D9D9D9"/>
              <w:left w:val="single" w:sz="4" w:color="D9D9D9"/>
              <w:bottom w:val="single" w:sz="4" w:color="D9D9D9"/>
              <w:right w:val="single" w:sz="4" w:color="D9D9D9"/>
            </w:tcBorders>
            <w:vAlign w:val="center"/>
          </w:tcPr>
          <w:p>
            <w:pPr>
              <w:spacing w:after="40"/>
            </w:pPr>
            <w:r>
              <w:rPr>
                <w:sz w:val="18"/>
              </w:rPr>
              <w:t>Use “About Uruhu” as the page label. Keep the official logo as supplied.</w:t>
            </w:r>
          </w:p>
        </w:tc>
      </w:tr>
      <w:tr>
        <w:tc>
          <w:tcPr>
            <w:tcW w:type="dxa" w:w="3528"/>
            <w:tcBorders>
              <w:top w:val="single" w:sz="4" w:color="D9D9D9"/>
              <w:left w:val="single" w:sz="4" w:color="D9D9D9"/>
              <w:bottom w:val="single" w:sz="4" w:color="D9D9D9"/>
              <w:right w:val="single" w:sz="4" w:color="D9D9D9"/>
            </w:tcBorders>
            <w:vAlign w:val="center"/>
            <w:shd w:fill="F2F6F7"/>
          </w:tcPr>
          <w:p>
            <w:pPr>
              <w:spacing w:after="40"/>
            </w:pPr>
            <w:r>
              <w:rPr>
                <w:sz w:val="18"/>
              </w:rPr>
              <w:t>Your Trusted Partner in Financial Excellence</w:t>
            </w:r>
          </w:p>
        </w:tc>
        <w:tc>
          <w:tcPr>
            <w:tcW w:type="dxa" w:w="6264"/>
            <w:tcBorders>
              <w:top w:val="single" w:sz="4" w:color="D9D9D9"/>
              <w:left w:val="single" w:sz="4" w:color="D9D9D9"/>
              <w:bottom w:val="single" w:sz="4" w:color="D9D9D9"/>
              <w:right w:val="single" w:sz="4" w:color="D9D9D9"/>
            </w:tcBorders>
            <w:vAlign w:val="center"/>
            <w:shd w:fill="F2F6F7"/>
          </w:tcPr>
          <w:p>
            <w:pPr>
              <w:spacing w:after="40"/>
            </w:pPr>
            <w:r>
              <w:rPr>
                <w:sz w:val="18"/>
              </w:rPr>
              <w:t>Replace with “Practical Advisory. Sustainable Value.”</w:t>
            </w:r>
          </w:p>
        </w:tc>
      </w:tr>
      <w:tr>
        <w:tc>
          <w:tcPr>
            <w:tcW w:type="dxa" w:w="3528"/>
            <w:tcBorders>
              <w:top w:val="single" w:sz="4" w:color="D9D9D9"/>
              <w:left w:val="single" w:sz="4" w:color="D9D9D9"/>
              <w:bottom w:val="single" w:sz="4" w:color="D9D9D9"/>
              <w:right w:val="single" w:sz="4" w:color="D9D9D9"/>
            </w:tcBorders>
            <w:vAlign w:val="center"/>
          </w:tcPr>
          <w:p>
            <w:pPr>
              <w:spacing w:after="40"/>
            </w:pPr>
            <w:r>
              <w:rPr>
                <w:sz w:val="18"/>
              </w:rPr>
              <w:t>Generic financial advisory introduction</w:t>
            </w:r>
          </w:p>
        </w:tc>
        <w:tc>
          <w:tcPr>
            <w:tcW w:type="dxa" w:w="6264"/>
            <w:tcBorders>
              <w:top w:val="single" w:sz="4" w:color="D9D9D9"/>
              <w:left w:val="single" w:sz="4" w:color="D9D9D9"/>
              <w:bottom w:val="single" w:sz="4" w:color="D9D9D9"/>
              <w:right w:val="single" w:sz="4" w:color="D9D9D9"/>
            </w:tcBorders>
            <w:vAlign w:val="center"/>
          </w:tcPr>
          <w:p>
            <w:pPr>
              <w:spacing w:after="40"/>
            </w:pPr>
            <w:r>
              <w:rPr>
                <w:sz w:val="18"/>
              </w:rPr>
              <w:t>Replace with the opening copy below.</w:t>
            </w:r>
          </w:p>
        </w:tc>
      </w:tr>
      <w:tr>
        <w:tc>
          <w:tcPr>
            <w:tcW w:type="dxa" w:w="3528"/>
            <w:tcBorders>
              <w:top w:val="single" w:sz="4" w:color="D9D9D9"/>
              <w:left w:val="single" w:sz="4" w:color="D9D9D9"/>
              <w:bottom w:val="single" w:sz="4" w:color="D9D9D9"/>
              <w:right w:val="single" w:sz="4" w:color="D9D9D9"/>
            </w:tcBorders>
            <w:vAlign w:val="center"/>
            <w:shd w:fill="F2F6F7"/>
          </w:tcPr>
          <w:p>
            <w:pPr>
              <w:spacing w:after="40"/>
            </w:pPr>
            <w:r>
              <w:rPr>
                <w:sz w:val="18"/>
              </w:rPr>
              <w:t>Our Story</w:t>
            </w:r>
          </w:p>
        </w:tc>
        <w:tc>
          <w:tcPr>
            <w:tcW w:type="dxa" w:w="6264"/>
            <w:tcBorders>
              <w:top w:val="single" w:sz="4" w:color="D9D9D9"/>
              <w:left w:val="single" w:sz="4" w:color="D9D9D9"/>
              <w:bottom w:val="single" w:sz="4" w:color="D9D9D9"/>
              <w:right w:val="single" w:sz="4" w:color="D9D9D9"/>
            </w:tcBorders>
            <w:vAlign w:val="center"/>
            <w:shd w:fill="F2F6F7"/>
          </w:tcPr>
          <w:p>
            <w:pPr>
              <w:spacing w:after="40"/>
            </w:pPr>
            <w:r>
              <w:rPr>
                <w:sz w:val="18"/>
              </w:rPr>
              <w:t>Keep the section and replace the text.</w:t>
            </w:r>
          </w:p>
        </w:tc>
      </w:tr>
      <w:tr>
        <w:tc>
          <w:tcPr>
            <w:tcW w:type="dxa" w:w="3528"/>
            <w:tcBorders>
              <w:top w:val="single" w:sz="4" w:color="D9D9D9"/>
              <w:left w:val="single" w:sz="4" w:color="D9D9D9"/>
              <w:bottom w:val="single" w:sz="4" w:color="D9D9D9"/>
              <w:right w:val="single" w:sz="4" w:color="D9D9D9"/>
            </w:tcBorders>
            <w:vAlign w:val="center"/>
          </w:tcPr>
          <w:p>
            <w:pPr>
              <w:spacing w:after="40"/>
            </w:pPr>
            <w:r>
              <w:rPr>
                <w:sz w:val="18"/>
              </w:rPr>
              <w:t>Proven Track Record; 10+ Years of Excellence</w:t>
            </w:r>
          </w:p>
        </w:tc>
        <w:tc>
          <w:tcPr>
            <w:tcW w:type="dxa" w:w="6264"/>
            <w:tcBorders>
              <w:top w:val="single" w:sz="4" w:color="D9D9D9"/>
              <w:left w:val="single" w:sz="4" w:color="D9D9D9"/>
              <w:bottom w:val="single" w:sz="4" w:color="D9D9D9"/>
              <w:right w:val="single" w:sz="4" w:color="D9D9D9"/>
            </w:tcBorders>
            <w:vAlign w:val="center"/>
          </w:tcPr>
          <w:p>
            <w:pPr>
              <w:spacing w:after="40"/>
            </w:pPr>
            <w:r>
              <w:rPr>
                <w:sz w:val="18"/>
              </w:rPr>
              <w:t>Remove both claims. Replace the image badge with “Experience grounded in financial services, risk and regulation.”</w:t>
            </w:r>
          </w:p>
        </w:tc>
      </w:tr>
      <w:tr>
        <w:tc>
          <w:tcPr>
            <w:tcW w:type="dxa" w:w="3528"/>
            <w:tcBorders>
              <w:top w:val="single" w:sz="4" w:color="D9D9D9"/>
              <w:left w:val="single" w:sz="4" w:color="D9D9D9"/>
              <w:bottom w:val="single" w:sz="4" w:color="D9D9D9"/>
              <w:right w:val="single" w:sz="4" w:color="D9D9D9"/>
            </w:tcBorders>
            <w:vAlign w:val="center"/>
            <w:shd w:fill="F2F6F7"/>
          </w:tcPr>
          <w:p>
            <w:pPr>
              <w:spacing w:after="40"/>
            </w:pPr>
            <w:r>
              <w:rPr>
                <w:sz w:val="18"/>
              </w:rPr>
              <w:t>Credibility badges</w:t>
            </w:r>
          </w:p>
        </w:tc>
        <w:tc>
          <w:tcPr>
            <w:tcW w:type="dxa" w:w="6264"/>
            <w:tcBorders>
              <w:top w:val="single" w:sz="4" w:color="D9D9D9"/>
              <w:left w:val="single" w:sz="4" w:color="D9D9D9"/>
              <w:bottom w:val="single" w:sz="4" w:color="D9D9D9"/>
              <w:right w:val="single" w:sz="4" w:color="D9D9D9"/>
            </w:tcBorders>
            <w:vAlign w:val="center"/>
            <w:shd w:fill="F2F6F7"/>
          </w:tcPr>
          <w:p>
            <w:pPr>
              <w:spacing w:after="40"/>
            </w:pPr>
            <w:r>
              <w:rPr>
                <w:sz w:val="18"/>
              </w:rPr>
              <w:t>Use Practical Solutions; Financial and Risk Expertise; Client Focus; Independent Thinking.</w:t>
            </w:r>
          </w:p>
        </w:tc>
      </w:tr>
      <w:tr>
        <w:tc>
          <w:tcPr>
            <w:tcW w:type="dxa" w:w="3528"/>
            <w:tcBorders>
              <w:top w:val="single" w:sz="4" w:color="D9D9D9"/>
              <w:left w:val="single" w:sz="4" w:color="D9D9D9"/>
              <w:bottom w:val="single" w:sz="4" w:color="D9D9D9"/>
              <w:right w:val="single" w:sz="4" w:color="D9D9D9"/>
            </w:tcBorders>
            <w:vAlign w:val="center"/>
          </w:tcPr>
          <w:p>
            <w:pPr>
              <w:spacing w:after="40"/>
            </w:pPr>
            <w:r>
              <w:rPr>
                <w:sz w:val="18"/>
              </w:rPr>
              <w:t>Values</w:t>
            </w:r>
          </w:p>
        </w:tc>
        <w:tc>
          <w:tcPr>
            <w:tcW w:type="dxa" w:w="6264"/>
            <w:tcBorders>
              <w:top w:val="single" w:sz="4" w:color="D9D9D9"/>
              <w:left w:val="single" w:sz="4" w:color="D9D9D9"/>
              <w:bottom w:val="single" w:sz="4" w:color="D9D9D9"/>
              <w:right w:val="single" w:sz="4" w:color="D9D9D9"/>
            </w:tcBorders>
            <w:vAlign w:val="center"/>
          </w:tcPr>
          <w:p>
            <w:pPr>
              <w:spacing w:after="40"/>
            </w:pPr>
            <w:r>
              <w:rPr>
                <w:sz w:val="18"/>
              </w:rPr>
              <w:t>Keep the four value names, replace their descriptions.</w:t>
            </w:r>
          </w:p>
        </w:tc>
      </w:tr>
      <w:tr>
        <w:tc>
          <w:tcPr>
            <w:tcW w:type="dxa" w:w="3528"/>
            <w:tcBorders>
              <w:top w:val="single" w:sz="4" w:color="D9D9D9"/>
              <w:left w:val="single" w:sz="4" w:color="D9D9D9"/>
              <w:bottom w:val="single" w:sz="4" w:color="D9D9D9"/>
              <w:right w:val="single" w:sz="4" w:color="D9D9D9"/>
            </w:tcBorders>
            <w:vAlign w:val="center"/>
            <w:shd w:fill="F2F6F7"/>
          </w:tcPr>
          <w:p>
            <w:pPr>
              <w:spacing w:after="40"/>
            </w:pPr>
            <w:r>
              <w:rPr>
                <w:sz w:val="18"/>
              </w:rPr>
              <w:t>Closing financial goals CTA</w:t>
            </w:r>
          </w:p>
        </w:tc>
        <w:tc>
          <w:tcPr>
            <w:tcW w:type="dxa" w:w="6264"/>
            <w:tcBorders>
              <w:top w:val="single" w:sz="4" w:color="D9D9D9"/>
              <w:left w:val="single" w:sz="4" w:color="D9D9D9"/>
              <w:bottom w:val="single" w:sz="4" w:color="D9D9D9"/>
              <w:right w:val="single" w:sz="4" w:color="D9D9D9"/>
            </w:tcBorders>
            <w:vAlign w:val="center"/>
            <w:shd w:fill="F2F6F7"/>
          </w:tcPr>
          <w:p>
            <w:pPr>
              <w:spacing w:after="40"/>
            </w:pPr>
            <w:r>
              <w:rPr>
                <w:sz w:val="18"/>
              </w:rPr>
              <w:t>Replace with the broader closing CTA below.</w:t>
            </w:r>
          </w:p>
        </w:tc>
      </w:tr>
    </w:tbl>
    <w:p>
      <w:pPr>
        <w:spacing w:after="0"/>
      </w:pPr>
    </w:p>
    <w:p>
      <w:pPr>
        <w:pStyle w:val="Heading2"/>
      </w:pPr>
      <w:r>
        <w:t>Approved replacement copy</w:t>
      </w:r>
    </w:p>
    <w:p>
      <w:pPr>
        <w:pStyle w:val="Heading3"/>
      </w:pPr>
      <w:r>
        <w:t>Hero</w:t>
      </w:r>
    </w:p>
    <w:p>
      <w:pPr>
        <w:spacing w:after="100"/>
      </w:pPr>
      <w:r>
        <w:rPr>
          <w:b/>
        </w:rPr>
        <w:t xml:space="preserve">Eyebrow  </w:t>
      </w:r>
      <w:r>
        <w:t>About Uruhu</w:t>
      </w:r>
    </w:p>
    <w:p>
      <w:pPr>
        <w:spacing w:after="100"/>
      </w:pPr>
      <w:r>
        <w:rPr>
          <w:b/>
        </w:rPr>
        <w:t xml:space="preserve">Main heading  </w:t>
      </w:r>
      <w:r>
        <w:t>Building Value. Managing Risk.</w:t>
      </w:r>
    </w:p>
    <w:p>
      <w:pPr>
        <w:spacing w:after="100"/>
      </w:pPr>
      <w:r>
        <w:rPr>
          <w:b/>
        </w:rPr>
        <w:t xml:space="preserve">Subheading  </w:t>
      </w:r>
      <w:r>
        <w:t>Practical Advisory. Sustainable Value.</w:t>
      </w:r>
    </w:p>
    <w:p>
      <w:r>
        <w:t>Uruhu is a boutique business and financial advisory firm helping businesses and individuals make informed decisions, strengthen financial performance, prepare for appropriate funding opportunities and manage risk.</w:t>
      </w:r>
    </w:p>
    <w:p>
      <w:pPr>
        <w:pStyle w:val="Heading3"/>
      </w:pPr>
      <w:r>
        <w:t>Our Story</w:t>
      </w:r>
    </w:p>
    <w:p>
      <w:pPr>
        <w:spacing w:after="100"/>
      </w:pPr>
      <w:r>
        <w:rPr>
          <w:b/>
        </w:rPr>
        <w:t xml:space="preserve">Section heading  </w:t>
      </w:r>
      <w:r>
        <w:t>Built on Expertise. Focused on Practical Solutions.</w:t>
      </w:r>
    </w:p>
    <w:p>
      <w:r>
        <w:t>Uruhu was established to help clients turn financial insight into practical action. We work with businesses and individuals to understand their position, identify opportunities and risks, and build a clear path toward their goals.</w:t>
      </w:r>
    </w:p>
    <w:p>
      <w:r>
        <w:t>Our work brings together business advisory, financial analysis, funding preparation and risk management. Drawing on experience in financial services, regulatory oversight and business strategy, we tailor our recommendations to the realities of operating in Nigeria.</w:t>
      </w:r>
    </w:p>
    <w:p>
      <w:pPr>
        <w:pStyle w:val="Heading3"/>
      </w:pPr>
      <w:r>
        <w:t>What Makes Uruhu Different</w:t>
      </w:r>
    </w:p>
    <w:p>
      <w:pPr>
        <w:spacing w:after="100"/>
      </w:pPr>
      <w:r>
        <w:rPr>
          <w:b/>
        </w:rPr>
        <w:t xml:space="preserve">Business, finance and risk  </w:t>
      </w:r>
      <w:r>
        <w:t>We consider the wider business and risk implications behind each financial decision.</w:t>
      </w:r>
    </w:p>
    <w:p>
      <w:pPr>
        <w:spacing w:after="100"/>
      </w:pPr>
      <w:r>
        <w:rPr>
          <w:b/>
        </w:rPr>
        <w:t xml:space="preserve">Practical solutions  </w:t>
      </w:r>
      <w:r>
        <w:t>Our recommendations are designed to support implementation and useful outcomes.</w:t>
      </w:r>
    </w:p>
    <w:p>
      <w:pPr>
        <w:spacing w:after="100"/>
      </w:pPr>
      <w:r>
        <w:rPr>
          <w:b/>
        </w:rPr>
        <w:t xml:space="preserve">Client focus  </w:t>
      </w:r>
      <w:r>
        <w:t>Each engagement begins with the client’s objectives, constraints and operating environment.</w:t>
      </w:r>
    </w:p>
    <w:p>
      <w:pPr>
        <w:spacing w:after="100"/>
      </w:pPr>
      <w:r>
        <w:rPr>
          <w:b/>
        </w:rPr>
        <w:t xml:space="preserve">Local understanding  </w:t>
      </w:r>
      <w:r>
        <w:t>We tailor our work to the realities of doing business in Nigeria.</w:t>
      </w:r>
    </w:p>
    <w:p>
      <w:pPr>
        <w:pStyle w:val="Heading3"/>
      </w:pPr>
      <w:r>
        <w:t>Who We Serve</w:t>
      </w:r>
    </w:p>
    <w:p>
      <w:pPr>
        <w:spacing w:after="100"/>
      </w:pPr>
      <w:r>
        <w:rPr>
          <w:b/>
        </w:rPr>
        <w:t xml:space="preserve">Growing businesses and MSMEs  </w:t>
      </w:r>
      <w:r>
        <w:t>Business structure, financial visibility, performance and funding readiness.</w:t>
      </w:r>
    </w:p>
    <w:p>
      <w:pPr>
        <w:spacing w:after="100"/>
      </w:pPr>
      <w:r>
        <w:rPr>
          <w:b/>
        </w:rPr>
        <w:t xml:space="preserve">Fintechs and financial institutions  </w:t>
      </w:r>
      <w:r>
        <w:t>Risk management, internal controls and regulatory advisory.</w:t>
      </w:r>
    </w:p>
    <w:p>
      <w:pPr>
        <w:spacing w:after="100"/>
      </w:pPr>
      <w:r>
        <w:rPr>
          <w:b/>
        </w:rPr>
        <w:t xml:space="preserve">Entrepreneurs and business owners  </w:t>
      </w:r>
      <w:r>
        <w:t>Business and financial decisions during growth and change.</w:t>
      </w:r>
    </w:p>
    <w:p>
      <w:pPr>
        <w:spacing w:after="100"/>
      </w:pPr>
      <w:r>
        <w:rPr>
          <w:b/>
        </w:rPr>
        <w:t xml:space="preserve">Individuals and investors  </w:t>
      </w:r>
      <w:r>
        <w:t>Financial planning and education; any personalised investment advisory offering is subject to Uruhu’s confirmation of its authorisation.</w:t>
      </w:r>
    </w:p>
    <w:p>
      <w:pPr>
        <w:pStyle w:val="Heading3"/>
      </w:pPr>
      <w:r>
        <w:t>Our Values</w:t>
      </w:r>
    </w:p>
    <w:p>
      <w:pPr>
        <w:spacing w:after="100"/>
      </w:pPr>
      <w:r>
        <w:rPr>
          <w:b/>
        </w:rPr>
        <w:t xml:space="preserve">Excellence  </w:t>
      </w:r>
      <w:r>
        <w:t>We apply rigorous thinking and high professional standards to every engagement.</w:t>
      </w:r>
    </w:p>
    <w:p>
      <w:pPr>
        <w:spacing w:after="100"/>
      </w:pPr>
      <w:r>
        <w:rPr>
          <w:b/>
        </w:rPr>
        <w:t xml:space="preserve">Integrity  </w:t>
      </w:r>
      <w:r>
        <w:t>We give objective advice grounded in transparency and accountability.</w:t>
      </w:r>
    </w:p>
    <w:p>
      <w:pPr>
        <w:spacing w:after="100"/>
      </w:pPr>
      <w:r>
        <w:rPr>
          <w:b/>
        </w:rPr>
        <w:t xml:space="preserve">Client First  </w:t>
      </w:r>
      <w:r>
        <w:t>We start with each client’s goals and circumstances.</w:t>
      </w:r>
    </w:p>
    <w:p>
      <w:pPr>
        <w:spacing w:after="100"/>
      </w:pPr>
      <w:r>
        <w:rPr>
          <w:b/>
        </w:rPr>
        <w:t xml:space="preserve">Innovation  </w:t>
      </w:r>
      <w:r>
        <w:t>We combine financial insight with practical thinking to address evolving challenges.</w:t>
      </w:r>
    </w:p>
    <w:p>
      <w:pPr>
        <w:pStyle w:val="Heading3"/>
      </w:pPr>
      <w:r>
        <w:t>Closing call to action</w:t>
      </w:r>
    </w:p>
    <w:p>
      <w:pPr>
        <w:spacing w:after="100"/>
      </w:pPr>
      <w:r>
        <w:rPr>
          <w:b/>
        </w:rPr>
        <w:t xml:space="preserve">Heading  </w:t>
      </w:r>
      <w:r>
        <w:t>Let’s Build What’s Next.</w:t>
      </w:r>
    </w:p>
    <w:p>
      <w:r>
        <w:t>Whether you are strengthening a business, preparing for funding or managing risk, Uruhu can help you develop a structured path forward.</w:t>
      </w:r>
    </w:p>
    <w:p>
      <w:pPr>
        <w:spacing w:after="100"/>
      </w:pPr>
      <w:r>
        <w:rPr>
          <w:b/>
        </w:rPr>
        <w:t xml:space="preserve">Buttons  </w:t>
      </w:r>
      <w:r>
        <w:t>Discuss Your Needs  |  Explore Our Services</w:t>
      </w:r>
    </w:p>
    <w:p>
      <w:pPr>
        <w:pStyle w:val="Heading1"/>
      </w:pPr>
      <w:r>
        <w:t>Services page</w:t>
      </w:r>
    </w:p>
    <w:p>
      <w:r>
        <w:t>Reorder the service cards and navigation anchors so visitors see the four areas below in this sequence. The fourth area is a draft for review and must remain unpublished until the scope is confirmed.</w:t>
      </w:r>
    </w:p>
    <w:tbl>
      <w:tblPr>
        <w:tblW w:type="auto" w:w="0"/>
        <w:jc w:val="center"/>
        <w:tblLayout w:type="fixed"/>
        <w:tblLook w:firstColumn="1" w:firstRow="1" w:lastColumn="0" w:lastRow="0" w:noHBand="0" w:noVBand="1" w:val="04A0"/>
      </w:tblPr>
      <w:tblGrid>
        <w:gridCol w:w="792"/>
        <w:gridCol w:w="3816"/>
        <w:gridCol w:w="5184"/>
      </w:tblGrid>
      <w:tr>
        <w:tc>
          <w:tcPr>
            <w:tcW w:type="dxa" w:w="3293"/>
            <w:shd w:fill="3E6F7D"/>
            <w:tcBorders>
              <w:top w:val="single" w:sz="4" w:color="D9D9D9"/>
              <w:left w:val="single" w:sz="4" w:color="D9D9D9"/>
              <w:bottom w:val="single" w:sz="4" w:color="D9D9D9"/>
              <w:right w:val="single" w:sz="4" w:color="D9D9D9"/>
            </w:tcBorders>
          </w:tcPr>
          <w:p>
            <w:r>
              <w:rPr>
                <w:b/>
                <w:color w:val="FFFFFF"/>
                <w:sz w:val="18"/>
              </w:rPr>
              <w:t>Order</w:t>
            </w:r>
          </w:p>
        </w:tc>
        <w:tc>
          <w:tcPr>
            <w:tcW w:type="dxa" w:w="3293"/>
            <w:shd w:fill="3E6F7D"/>
            <w:tcBorders>
              <w:top w:val="single" w:sz="4" w:color="D9D9D9"/>
              <w:left w:val="single" w:sz="4" w:color="D9D9D9"/>
              <w:bottom w:val="single" w:sz="4" w:color="D9D9D9"/>
              <w:right w:val="single" w:sz="4" w:color="D9D9D9"/>
            </w:tcBorders>
          </w:tcPr>
          <w:p>
            <w:r>
              <w:rPr>
                <w:b/>
                <w:color w:val="FFFFFF"/>
                <w:sz w:val="18"/>
              </w:rPr>
              <w:t>Service</w:t>
            </w:r>
          </w:p>
        </w:tc>
        <w:tc>
          <w:tcPr>
            <w:tcW w:type="dxa" w:w="3293"/>
            <w:shd w:fill="3E6F7D"/>
            <w:tcBorders>
              <w:top w:val="single" w:sz="4" w:color="D9D9D9"/>
              <w:left w:val="single" w:sz="4" w:color="D9D9D9"/>
              <w:bottom w:val="single" w:sz="4" w:color="D9D9D9"/>
              <w:right w:val="single" w:sz="4" w:color="D9D9D9"/>
            </w:tcBorders>
          </w:tcPr>
          <w:p>
            <w:r>
              <w:rPr>
                <w:b/>
                <w:color w:val="FFFFFF"/>
                <w:sz w:val="18"/>
              </w:rPr>
              <w:t>Status</w:t>
            </w:r>
          </w:p>
        </w:tc>
      </w:tr>
      <w:tr>
        <w:tc>
          <w:tcPr>
            <w:tcW w:type="dxa" w:w="792"/>
            <w:tcBorders>
              <w:top w:val="single" w:sz="4" w:color="D9D9D9"/>
              <w:left w:val="single" w:sz="4" w:color="D9D9D9"/>
              <w:bottom w:val="single" w:sz="4" w:color="D9D9D9"/>
              <w:right w:val="single" w:sz="4" w:color="D9D9D9"/>
            </w:tcBorders>
            <w:vAlign w:val="center"/>
          </w:tcPr>
          <w:p>
            <w:pPr>
              <w:spacing w:after="40"/>
            </w:pPr>
            <w:r>
              <w:rPr>
                <w:sz w:val="18"/>
              </w:rPr>
              <w:t>01</w:t>
            </w:r>
          </w:p>
        </w:tc>
        <w:tc>
          <w:tcPr>
            <w:tcW w:type="dxa" w:w="3816"/>
            <w:tcBorders>
              <w:top w:val="single" w:sz="4" w:color="D9D9D9"/>
              <w:left w:val="single" w:sz="4" w:color="D9D9D9"/>
              <w:bottom w:val="single" w:sz="4" w:color="D9D9D9"/>
              <w:right w:val="single" w:sz="4" w:color="D9D9D9"/>
            </w:tcBorders>
            <w:vAlign w:val="center"/>
          </w:tcPr>
          <w:p>
            <w:pPr>
              <w:spacing w:after="40"/>
            </w:pPr>
            <w:r>
              <w:rPr>
                <w:sz w:val="18"/>
              </w:rPr>
              <w:t>Business Advisory &amp; Solutions</w:t>
            </w:r>
          </w:p>
        </w:tc>
        <w:tc>
          <w:tcPr>
            <w:tcW w:type="dxa" w:w="5184"/>
            <w:tcBorders>
              <w:top w:val="single" w:sz="4" w:color="D9D9D9"/>
              <w:left w:val="single" w:sz="4" w:color="D9D9D9"/>
              <w:bottom w:val="single" w:sz="4" w:color="D9D9D9"/>
              <w:right w:val="single" w:sz="4" w:color="D9D9D9"/>
            </w:tcBorders>
            <w:vAlign w:val="center"/>
          </w:tcPr>
          <w:p>
            <w:pPr>
              <w:spacing w:after="40"/>
            </w:pPr>
            <w:r>
              <w:rPr>
                <w:sz w:val="18"/>
              </w:rPr>
              <w:t>Add as the lead service</w:t>
            </w:r>
          </w:p>
        </w:tc>
      </w:tr>
      <w:tr>
        <w:tc>
          <w:tcPr>
            <w:tcW w:type="dxa" w:w="792"/>
            <w:tcBorders>
              <w:top w:val="single" w:sz="4" w:color="D9D9D9"/>
              <w:left w:val="single" w:sz="4" w:color="D9D9D9"/>
              <w:bottom w:val="single" w:sz="4" w:color="D9D9D9"/>
              <w:right w:val="single" w:sz="4" w:color="D9D9D9"/>
            </w:tcBorders>
            <w:vAlign w:val="center"/>
            <w:shd w:fill="F2F6F7"/>
          </w:tcPr>
          <w:p>
            <w:pPr>
              <w:spacing w:after="40"/>
            </w:pPr>
            <w:r>
              <w:rPr>
                <w:sz w:val="18"/>
              </w:rPr>
              <w:t>02</w:t>
            </w:r>
          </w:p>
        </w:tc>
        <w:tc>
          <w:tcPr>
            <w:tcW w:type="dxa" w:w="3816"/>
            <w:tcBorders>
              <w:top w:val="single" w:sz="4" w:color="D9D9D9"/>
              <w:left w:val="single" w:sz="4" w:color="D9D9D9"/>
              <w:bottom w:val="single" w:sz="4" w:color="D9D9D9"/>
              <w:right w:val="single" w:sz="4" w:color="D9D9D9"/>
            </w:tcBorders>
            <w:vAlign w:val="center"/>
            <w:shd w:fill="F2F6F7"/>
          </w:tcPr>
          <w:p>
            <w:pPr>
              <w:spacing w:after="40"/>
            </w:pPr>
            <w:r>
              <w:rPr>
                <w:sz w:val="18"/>
              </w:rPr>
              <w:t>Funding &amp; Capital Advisory</w:t>
            </w:r>
          </w:p>
        </w:tc>
        <w:tc>
          <w:tcPr>
            <w:tcW w:type="dxa" w:w="5184"/>
            <w:tcBorders>
              <w:top w:val="single" w:sz="4" w:color="D9D9D9"/>
              <w:left w:val="single" w:sz="4" w:color="D9D9D9"/>
              <w:bottom w:val="single" w:sz="4" w:color="D9D9D9"/>
              <w:right w:val="single" w:sz="4" w:color="D9D9D9"/>
            </w:tcBorders>
            <w:vAlign w:val="center"/>
            <w:shd w:fill="F2F6F7"/>
          </w:tcPr>
          <w:p>
            <w:pPr>
              <w:spacing w:after="40"/>
            </w:pPr>
            <w:r>
              <w:rPr>
                <w:sz w:val="18"/>
              </w:rPr>
              <w:t>Replace current copy</w:t>
            </w:r>
          </w:p>
        </w:tc>
      </w:tr>
      <w:tr>
        <w:tc>
          <w:tcPr>
            <w:tcW w:type="dxa" w:w="792"/>
            <w:tcBorders>
              <w:top w:val="single" w:sz="4" w:color="D9D9D9"/>
              <w:left w:val="single" w:sz="4" w:color="D9D9D9"/>
              <w:bottom w:val="single" w:sz="4" w:color="D9D9D9"/>
              <w:right w:val="single" w:sz="4" w:color="D9D9D9"/>
            </w:tcBorders>
            <w:vAlign w:val="center"/>
          </w:tcPr>
          <w:p>
            <w:pPr>
              <w:spacing w:after="40"/>
            </w:pPr>
            <w:r>
              <w:rPr>
                <w:sz w:val="18"/>
              </w:rPr>
              <w:t>03</w:t>
            </w:r>
          </w:p>
        </w:tc>
        <w:tc>
          <w:tcPr>
            <w:tcW w:type="dxa" w:w="3816"/>
            <w:tcBorders>
              <w:top w:val="single" w:sz="4" w:color="D9D9D9"/>
              <w:left w:val="single" w:sz="4" w:color="D9D9D9"/>
              <w:bottom w:val="single" w:sz="4" w:color="D9D9D9"/>
              <w:right w:val="single" w:sz="4" w:color="D9D9D9"/>
            </w:tcBorders>
            <w:vAlign w:val="center"/>
          </w:tcPr>
          <w:p>
            <w:pPr>
              <w:spacing w:after="40"/>
            </w:pPr>
            <w:r>
              <w:rPr>
                <w:sz w:val="18"/>
              </w:rPr>
              <w:t>Risk Advisory</w:t>
            </w:r>
          </w:p>
        </w:tc>
        <w:tc>
          <w:tcPr>
            <w:tcW w:type="dxa" w:w="5184"/>
            <w:tcBorders>
              <w:top w:val="single" w:sz="4" w:color="D9D9D9"/>
              <w:left w:val="single" w:sz="4" w:color="D9D9D9"/>
              <w:bottom w:val="single" w:sz="4" w:color="D9D9D9"/>
              <w:right w:val="single" w:sz="4" w:color="D9D9D9"/>
            </w:tcBorders>
            <w:vAlign w:val="center"/>
          </w:tcPr>
          <w:p>
            <w:pPr>
              <w:spacing w:after="40"/>
            </w:pPr>
            <w:r>
              <w:rPr>
                <w:sz w:val="18"/>
              </w:rPr>
              <w:t>Expand current copy</w:t>
            </w:r>
          </w:p>
        </w:tc>
      </w:tr>
      <w:tr>
        <w:tc>
          <w:tcPr>
            <w:tcW w:type="dxa" w:w="792"/>
            <w:tcBorders>
              <w:top w:val="single" w:sz="4" w:color="D9D9D9"/>
              <w:left w:val="single" w:sz="4" w:color="D9D9D9"/>
              <w:bottom w:val="single" w:sz="4" w:color="D9D9D9"/>
              <w:right w:val="single" w:sz="4" w:color="D9D9D9"/>
            </w:tcBorders>
            <w:vAlign w:val="center"/>
            <w:shd w:fill="F2F6F7"/>
          </w:tcPr>
          <w:p>
            <w:pPr>
              <w:spacing w:after="40"/>
            </w:pPr>
            <w:r>
              <w:rPr>
                <w:sz w:val="18"/>
              </w:rPr>
              <w:t>04</w:t>
            </w:r>
          </w:p>
        </w:tc>
        <w:tc>
          <w:tcPr>
            <w:tcW w:type="dxa" w:w="3816"/>
            <w:tcBorders>
              <w:top w:val="single" w:sz="4" w:color="D9D9D9"/>
              <w:left w:val="single" w:sz="4" w:color="D9D9D9"/>
              <w:bottom w:val="single" w:sz="4" w:color="D9D9D9"/>
              <w:right w:val="single" w:sz="4" w:color="D9D9D9"/>
            </w:tcBorders>
            <w:vAlign w:val="center"/>
            <w:shd w:fill="F2F6F7"/>
          </w:tcPr>
          <w:p>
            <w:pPr>
              <w:spacing w:after="40"/>
            </w:pPr>
            <w:r>
              <w:rPr>
                <w:sz w:val="18"/>
              </w:rPr>
              <w:t>Financial &amp; Investment Advisory</w:t>
            </w:r>
          </w:p>
        </w:tc>
        <w:tc>
          <w:tcPr>
            <w:tcW w:type="dxa" w:w="5184"/>
            <w:tcBorders>
              <w:top w:val="single" w:sz="4" w:color="D9D9D9"/>
              <w:left w:val="single" w:sz="4" w:color="D9D9D9"/>
              <w:bottom w:val="single" w:sz="4" w:color="D9D9D9"/>
              <w:right w:val="single" w:sz="4" w:color="D9D9D9"/>
            </w:tcBorders>
            <w:vAlign w:val="center"/>
            <w:shd w:fill="F2F6F7"/>
          </w:tcPr>
          <w:p>
            <w:pPr>
              <w:spacing w:after="40"/>
            </w:pPr>
            <w:r>
              <w:rPr>
                <w:sz w:val="18"/>
              </w:rPr>
              <w:t>Draft only; confirm regulatory permissions before publishing</w:t>
            </w:r>
          </w:p>
        </w:tc>
      </w:tr>
    </w:tbl>
    <w:p>
      <w:pPr>
        <w:spacing w:after="0"/>
      </w:pPr>
    </w:p>
    <w:p>
      <w:pPr>
        <w:pStyle w:val="Heading2"/>
      </w:pPr>
      <w:r>
        <w:t>Page introduction</w:t>
      </w:r>
    </w:p>
    <w:p>
      <w:pPr>
        <w:spacing w:after="100"/>
      </w:pPr>
      <w:r>
        <w:rPr>
          <w:b/>
        </w:rPr>
        <w:t xml:space="preserve">Heading  </w:t>
      </w:r>
      <w:r>
        <w:t>Services Built Around Better Decisions</w:t>
      </w:r>
    </w:p>
    <w:p>
      <w:r>
        <w:t>We combine business insight, financial analysis and risk expertise to help clients strengthen operations, prepare for growth and respond to complex decisions. Explore our advisory services below.</w:t>
      </w:r>
    </w:p>
    <w:p>
      <w:pPr>
        <w:pStyle w:val="Heading2"/>
      </w:pPr>
      <w:r>
        <w:t>01 Business Advisory and Solutions</w:t>
      </w:r>
    </w:p>
    <w:p>
      <w:pPr>
        <w:spacing w:after="100"/>
      </w:pPr>
      <w:r>
        <w:rPr>
          <w:b/>
        </w:rPr>
        <w:t xml:space="preserve">Subheading  </w:t>
      </w:r>
      <w:r>
        <w:t>Building Stronger Businesses Through Better Structure</w:t>
      </w:r>
    </w:p>
    <w:p>
      <w:r>
        <w:t>We help businesses understand their financial position, strengthen operations, improve performance and plan for sustainable growth.</w:t>
      </w:r>
    </w:p>
    <w:p>
      <w:pPr>
        <w:spacing w:after="100"/>
      </w:pPr>
      <w:r>
        <w:rPr>
          <w:b/>
        </w:rPr>
        <w:t xml:space="preserve">What We Offer  </w:t>
      </w:r>
      <w:r>
        <w:t>Business strategy and structuring; financial analysis and planning; cost and profitability analysis; revenue improvement; performance reviews; growth and expansion planning; management reporting; financial management and controls.</w:t>
      </w:r>
    </w:p>
    <w:p>
      <w:pPr>
        <w:spacing w:after="100"/>
      </w:pPr>
      <w:r>
        <w:rPr>
          <w:b/>
        </w:rPr>
        <w:t xml:space="preserve">Key Benefits  </w:t>
      </w:r>
      <w:r>
        <w:t>Clearer financial information; better resource allocation; stronger operating structures; more informed decisions; a practical growth plan.</w:t>
      </w:r>
    </w:p>
    <w:p>
      <w:pPr>
        <w:pStyle w:val="Heading2"/>
      </w:pPr>
      <w:r>
        <w:t>02 Funding and Capital Advisory</w:t>
      </w:r>
    </w:p>
    <w:p>
      <w:pPr>
        <w:spacing w:after="100"/>
      </w:pPr>
      <w:r>
        <w:rPr>
          <w:b/>
        </w:rPr>
        <w:t xml:space="preserve">Subheading  </w:t>
      </w:r>
      <w:r>
        <w:t>Preparing Businesses for Appropriate Capital Opportunities</w:t>
      </w:r>
    </w:p>
    <w:p>
      <w:r>
        <w:t>We assess funding needs and help businesses prepare the financial case, plans and documents required to approach suitable lenders, development finance institutions or investors. We support the application process where appropriate; funding decisions remain with the provider.</w:t>
      </w:r>
    </w:p>
    <w:p>
      <w:pPr>
        <w:spacing w:after="100"/>
      </w:pPr>
      <w:r>
        <w:rPr>
          <w:b/>
        </w:rPr>
        <w:t xml:space="preserve">What We Offer  </w:t>
      </w:r>
      <w:r>
        <w:t>Funding readiness assessment; funding strategy and structuring; financial models and projections; business plans and application documents; use of funds planning; debt and equity financing analysis; lender and investor presentation materials; application preparation support.</w:t>
      </w:r>
    </w:p>
    <w:p>
      <w:pPr>
        <w:spacing w:after="100"/>
      </w:pPr>
      <w:r>
        <w:rPr>
          <w:b/>
        </w:rPr>
        <w:t xml:space="preserve">Key Benefits  </w:t>
      </w:r>
      <w:r>
        <w:t>Clearer funding requirements; stronger financial projections; organised documentation; better prepared funding applications.</w:t>
      </w:r>
    </w:p>
    <w:p>
      <w:pPr>
        <w:pStyle w:val="Smallnote"/>
      </w:pPr>
      <w:r>
        <w:t>Replace “Connect with funding sources” with the section description above. Replace “Investor Relations Management” with “Lender and Investor Readiness”. Mention BOI only as one possible financing channel where relevant; do not suggest Uruhu approves or guarantees funding.</w:t>
      </w:r>
    </w:p>
    <w:p>
      <w:pPr>
        <w:pStyle w:val="Heading2"/>
      </w:pPr>
      <w:r>
        <w:t>03 Risk Advisory</w:t>
      </w:r>
    </w:p>
    <w:p>
      <w:pPr>
        <w:spacing w:after="100"/>
      </w:pPr>
      <w:r>
        <w:rPr>
          <w:b/>
        </w:rPr>
        <w:t xml:space="preserve">Subheading  </w:t>
      </w:r>
      <w:r>
        <w:t>Identifying Risk and Strengthening Resilience</w:t>
      </w:r>
    </w:p>
    <w:p>
      <w:r>
        <w:t>We help businesses identify and manage financial, operational and regulatory risks while strengthening controls, governance and reporting.</w:t>
      </w:r>
    </w:p>
    <w:p>
      <w:pPr>
        <w:spacing w:after="100"/>
      </w:pPr>
      <w:r>
        <w:rPr>
          <w:b/>
        </w:rPr>
        <w:t xml:space="preserve">What We Offer  </w:t>
      </w:r>
      <w:r>
        <w:t>Enterprise risk assessment; financial and credit risk; operational risk; regulatory and compliance advisory; internal controls review; risk policies and frameworks; AML/CFT/CPF advisory; risk reporting; business continuity planning.</w:t>
      </w:r>
    </w:p>
    <w:p>
      <w:pPr>
        <w:spacing w:after="100"/>
      </w:pPr>
      <w:r>
        <w:rPr>
          <w:b/>
        </w:rPr>
        <w:t xml:space="preserve">Key Benefits  </w:t>
      </w:r>
      <w:r>
        <w:t>Greater visibility of material risks; stronger controls; clearer accountability; more structured risk reporting.</w:t>
      </w:r>
    </w:p>
    <w:p>
      <w:pPr>
        <w:pStyle w:val="Smallnote"/>
      </w:pPr>
      <w:r>
        <w:t>Use sector examples where useful: growing businesses, fintechs, microfinance banks and other financial institutions. Avoid implying formal regulatory approval or certifications that have not been verified.</w:t>
      </w:r>
    </w:p>
    <w:p>
      <w:pPr>
        <w:pStyle w:val="Heading2"/>
      </w:pPr>
      <w:r>
        <w:t>04 Financial and Investment Advisory</w:t>
      </w:r>
    </w:p>
    <w:p>
      <w:r>
        <w:t>HOLD FOR URUHU APPROVAL BEFORE PUBLICATION. The existing “Portfolio &amp; Asset Management”, “Portfolio Rebalancing”, “Maximize returns” and “Optimized risk-return profile” copy should be removed now. Replacing the heading with “Investment Advisory” alone does not settle the regulatory question: Nigeria’s SEC has separate registration categories for investment advisers and fund or portfolio managers.</w:t>
      </w:r>
    </w:p>
    <w:p>
      <w:pPr>
        <w:spacing w:after="100"/>
      </w:pPr>
      <w:r>
        <w:rPr>
          <w:b/>
        </w:rPr>
        <w:t xml:space="preserve">Provisional heading  </w:t>
      </w:r>
      <w:r>
        <w:t>Financial Planning and Investment Education</w:t>
      </w:r>
    </w:p>
    <w:p>
      <w:r>
        <w:t>We help clients understand financial goals, evaluate information and build confidence in financial decisions through planning and education. Personalised securities recommendations, portfolio reviews, investment advisory and management services should only appear if Uruhu confirms the necessary permissions and approved scope.</w:t>
      </w:r>
    </w:p>
    <w:p>
      <w:pPr>
        <w:spacing w:after="100"/>
      </w:pPr>
      <w:r>
        <w:rPr>
          <w:b/>
        </w:rPr>
        <w:t xml:space="preserve">Provisional offerings  </w:t>
      </w:r>
      <w:r>
        <w:t>Financial planning conversations; investment education; general market and risk education; business financial analysis and capital allocation planning.</w:t>
      </w:r>
    </w:p>
    <w:p>
      <w:pPr>
        <w:pStyle w:val="Smallnote"/>
      </w:pPr>
      <w:r>
        <w:t>After regulatory review, Uruhu may supply approved service copy and any required regulatory disclosures. Do not substitute this provisional text for legal review.</w:t>
      </w:r>
    </w:p>
    <w:p>
      <w:pPr>
        <w:pStyle w:val="Heading2"/>
      </w:pPr>
      <w:r>
        <w:t>How We Work With You</w:t>
      </w:r>
    </w:p>
    <w:p>
      <w:pPr>
        <w:spacing w:after="100"/>
      </w:pPr>
      <w:r>
        <w:rPr>
          <w:b/>
        </w:rPr>
        <w:t xml:space="preserve">01 Discovery  </w:t>
      </w:r>
      <w:r>
        <w:t>We understand your business or financial position, goals and challenges.</w:t>
      </w:r>
    </w:p>
    <w:p>
      <w:pPr>
        <w:spacing w:after="100"/>
      </w:pPr>
      <w:r>
        <w:rPr>
          <w:b/>
        </w:rPr>
        <w:t xml:space="preserve">02 Assessment  </w:t>
      </w:r>
      <w:r>
        <w:t>We assess the financial, operational and risk considerations that matter to your decision.</w:t>
      </w:r>
    </w:p>
    <w:p>
      <w:pPr>
        <w:spacing w:after="100"/>
      </w:pPr>
      <w:r>
        <w:rPr>
          <w:b/>
        </w:rPr>
        <w:t xml:space="preserve">03 Strategy and Structuring  </w:t>
      </w:r>
      <w:r>
        <w:t>We develop a practical response aligned with your objectives.</w:t>
      </w:r>
    </w:p>
    <w:p>
      <w:pPr>
        <w:spacing w:after="100"/>
      </w:pPr>
      <w:r>
        <w:rPr>
          <w:b/>
        </w:rPr>
        <w:t xml:space="preserve">04 Implementation Support  </w:t>
      </w:r>
      <w:r>
        <w:t>We support agreed next steps and coordinate with relevant stakeholders.</w:t>
      </w:r>
    </w:p>
    <w:p>
      <w:pPr>
        <w:spacing w:after="100"/>
      </w:pPr>
      <w:r>
        <w:rPr>
          <w:b/>
        </w:rPr>
        <w:t xml:space="preserve">05 Review  </w:t>
      </w:r>
      <w:r>
        <w:t>We review progress and refine the approach where needed.</w:t>
      </w:r>
    </w:p>
    <w:p>
      <w:pPr>
        <w:pStyle w:val="Heading2"/>
      </w:pPr>
      <w:r>
        <w:t>Final developer checklist</w:t>
      </w:r>
    </w:p>
    <w:p>
      <w:pPr>
        <w:pStyle w:val="ListBullet"/>
      </w:pPr>
      <w:r>
        <w:t>Retain the existing site styling and official Uruhu Solutions logo; update page copy and section order.</w:t>
      </w:r>
    </w:p>
    <w:p>
      <w:pPr>
        <w:pStyle w:val="ListBullet"/>
      </w:pPr>
      <w:r>
        <w:t>Remove unverified experience and track record claims from all page locations, including image overlays and mobile layouts.</w:t>
      </w:r>
    </w:p>
    <w:p>
      <w:pPr>
        <w:pStyle w:val="ListBullet"/>
      </w:pPr>
      <w:r>
        <w:t>Update service navigation anchors, cards and CTAs to match the revised order.</w:t>
      </w:r>
    </w:p>
    <w:p>
      <w:pPr>
        <w:pStyle w:val="ListBullet"/>
      </w:pPr>
      <w:r>
        <w:t>Remove investment management and return-related copy from the live site; obtain Uruhu approval for any replacement investment section.</w:t>
      </w:r>
    </w:p>
    <w:p>
      <w:pPr>
        <w:pStyle w:val="ListBullet"/>
      </w:pPr>
      <w:r>
        <w:t>Check desktop and mobile spacing, spelling, button destinations and consistent use of the four service names.</w:t>
      </w:r>
    </w:p>
    <w:p>
      <w:pPr>
        <w:pStyle w:val="Smallnote"/>
      </w:pPr>
      <w:r>
        <w:t>Regulatory reference for Uruhu’s review: Securities and Exchange Commission Nigeria, operator registration and registration requirements for Corporate Investment Advisers and Fund or Portfolio Managers (sec.gov.ng).</w:t>
      </w:r>
    </w:p>
    <w:sectPr w:rsidR="00FC693F" w:rsidRPr="0006063C" w:rsidSect="00034616">
      <w:footerReference w:type="default" r:id="rId9"/>
      <w:pgSz w:w="12240" w:h="15840"/>
      <w:pgMar w:top="922" w:right="1181" w:bottom="85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Uruhu website change brief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2" w:lineRule="auto"/>
    </w:pPr>
    <w:rPr>
      <w:rFonts w:ascii="Aptos" w:hAnsi="Aptos"/>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