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0fc0042af10409b5c506f2a38d94396d9ddff1b"/>
    <w:p>
      <w:pPr>
        <w:pStyle w:val="Heading1"/>
      </w:pPr>
      <w:r>
        <w:t xml:space="preserve">Retrospective Validation of GenomeGuard: A VCF-Based Pharmacogenomic Analysis Engine Benchmarked Against PharmCAT Using 1000 Genomes South Asian Reference Data</w:t>
      </w:r>
    </w:p>
    <w:p>
      <w:pPr>
        <w:pStyle w:val="FirstParagraph"/>
      </w:pPr>
      <w:r>
        <w:rPr>
          <w:b/>
          <w:bCs/>
        </w:rPr>
        <w:t xml:space="preserve">Author:</w:t>
      </w:r>
      <w:r>
        <w:t xml:space="preserve"> </w:t>
      </w:r>
      <w:r>
        <w:t xml:space="preserve">Aditya Yadav</w:t>
      </w:r>
    </w:p>
    <w:p>
      <w:pPr>
        <w:pStyle w:val="BodyText"/>
      </w:pPr>
      <w:r>
        <w:rPr>
          <w:b/>
          <w:bCs/>
        </w:rPr>
        <w:t xml:space="preserve">Date:</w:t>
      </w:r>
      <w:r>
        <w:t xml:space="preserve"> </w:t>
      </w:r>
      <w:r>
        <w:t xml:space="preserve">2026-06-26</w:t>
      </w:r>
    </w:p>
    <w:p>
      <w:pPr>
        <w:pStyle w:val="BodyText"/>
      </w:pPr>
      <w:r>
        <w:rPr>
          <w:b/>
          <w:bCs/>
        </w:rPr>
        <w:t xml:space="preserve">Version:</w:t>
      </w:r>
      <w:r>
        <w:t xml:space="preserve"> </w:t>
      </w:r>
      <w:r>
        <w:t xml:space="preserve">1.0.0</w:t>
      </w:r>
    </w:p>
    <w:p>
      <w:r>
        <w:pict>
          <v:rect style="width:0;height:1.5pt" o:hralign="center" o:hrstd="t" o:hr="t"/>
        </w:pict>
      </w:r>
    </w:p>
    <w:bookmarkStart w:id="9" w:name="abstract"/>
    <w:p>
      <w:pPr>
        <w:pStyle w:val="Heading2"/>
      </w:pPr>
      <w:r>
        <w:t xml:space="preserve">Abstract</w:t>
      </w:r>
    </w:p>
    <w:p>
      <w:pPr>
        <w:pStyle w:val="FirstParagraph"/>
      </w:pPr>
      <w:r>
        <w:t xml:space="preserve">This study presents a retrospective concordance analysis of GenomeGuard, a VCF-based pharmacogenomic (PGx) analysis engine, benchmarked against PharmCAT (Pharmacogenomics Clinical Annotation Tool, developed by PharmGKB/CPIC) using publicly available 1000 Genomes Project high-coverage (30x) whole-genome sequencing data from 601 South Asian individuals across five populations: Bengali (BEB), Gujarati (GIH), Indian Telugu (ITU), Punjabi (PJL), and Sri Lankan Tamil (STU).</w:t>
      </w:r>
    </w:p>
    <w:p>
      <w:pPr>
        <w:pStyle w:val="BodyText"/>
      </w:pPr>
      <w:r>
        <w:t xml:space="preserve">Across 16 Tier 1 (VCF-callable) pharmacogenes, GenomeGuard achieved an overall diplotype concordance of</w:t>
      </w:r>
      <w:r>
        <w:t xml:space="preserve"> </w:t>
      </w:r>
      <w:r>
        <w:rPr>
          <w:b/>
          <w:bCs/>
        </w:rPr>
        <w:t xml:space="preserve">99.92%</w:t>
      </w:r>
      <w:r>
        <w:t xml:space="preserve"> </w:t>
      </w:r>
      <w:r>
        <w:t xml:space="preserve">and phenotype concordance of</w:t>
      </w:r>
      <w:r>
        <w:t xml:space="preserve"> </w:t>
      </w:r>
      <w:r>
        <w:rPr>
          <w:b/>
          <w:bCs/>
        </w:rPr>
        <w:t xml:space="preserve">99.96%</w:t>
      </w:r>
      <w:r>
        <w:t xml:space="preserve"> </w:t>
      </w:r>
      <w:r>
        <w:t xml:space="preserve">relative to PharmCAT. 6 mismatches were triaged into three categories: allele-definition version differences (4), missing variant coverage (0), and potential logic differences (0).</w:t>
      </w:r>
    </w:p>
    <w:p>
      <w:pPr>
        <w:pStyle w:val="BodyText"/>
      </w:pPr>
      <w:r>
        <w:t xml:space="preserve">These results demonstrate that GenomeGuard produces clinically equivalent pharmacogenomic calls to the PharmCAT reference tool for the validated gene panel when applied to South Asian population data.</w:t>
      </w:r>
    </w:p>
    <w:p>
      <w:pPr>
        <w:pStyle w:val="BodyText"/>
      </w:pPr>
      <w:r>
        <w:rPr>
          <w:b/>
          <w:bCs/>
        </w:rPr>
        <w:t xml:space="preserve">Keywords:</w:t>
      </w:r>
      <w:r>
        <w:t xml:space="preserve"> </w:t>
      </w:r>
      <w:r>
        <w:t xml:space="preserve">pharmacogenomics, validation, VCF, South Asian, CPIC, PharmCAT, GenomeGuard, 1000 Genomes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Pharmacogenomics (PGx) is the study of how genetic variation influences individual drug response. Clinical implementation of PGx testing relies on accurate interpretation of genomic variants - typically represented in Variant Call Format (VCF) files - into star-allele diplotypes and metabolizer phenotypes that directly inform drug dosing decisions.</w:t>
      </w:r>
    </w:p>
    <w:p>
      <w:pPr>
        <w:pStyle w:val="BodyText"/>
      </w:pPr>
      <w:r>
        <w:t xml:space="preserve">The Clinical Pharmacogenetics Implementation Consortium (CPIC) provides evidence-based guidelines mapping specific diplotypes to actionable clinical recommendations. Tools that implement these guidelines must be rigorously validated to ensure that their star-allele calling logic, diplotype-to-phenotype translation, and drug interaction assessments produce reliable, clinically consistent results.</w:t>
      </w:r>
    </w:p>
    <w:p>
      <w:pPr>
        <w:pStyle w:val="BodyText"/>
      </w:pPr>
      <w:r>
        <w:t xml:space="preserve">GenomeGuard is a VCF-based PGx analysis engine designed for deployment in Indian healthcare settings. It processes standard VCF files, identifies pharmacogenomically relevant variants via rsID lookup against a curated knowledge base, constructs diplotypes, infers metabolizer phenotypes, and generates CPIC-aligned drug interaction reports.</w:t>
      </w:r>
    </w:p>
    <w:p>
      <w:pPr>
        <w:pStyle w:val="BodyText"/>
      </w:pPr>
      <w:r>
        <w:t xml:space="preserve">This study validates GenomeGuard’s calling accuracy by running it in parallel with PharmCAT - a widely adopted reference tool developed by PharmGKB - on identical input VCFs derived from the 1000 Genomes Project South Asian cohort.</w:t>
      </w:r>
    </w:p>
    <w:p>
      <w:r>
        <w:pict>
          <v:rect style="width:0;height:1.5pt" o:hralign="center" o:hrstd="t" o:hr="t"/>
        </w:pict>
      </w:r>
    </w:p>
    <w:bookmarkEnd w:id="10"/>
    <w:bookmarkStart w:id="18" w:name="methods"/>
    <w:p>
      <w:pPr>
        <w:pStyle w:val="Heading2"/>
      </w:pPr>
      <w:r>
        <w:t xml:space="preserve">2. Methods</w:t>
      </w:r>
    </w:p>
    <w:bookmarkStart w:id="11" w:name="study-design"/>
    <w:p>
      <w:pPr>
        <w:pStyle w:val="Heading3"/>
      </w:pPr>
      <w:r>
        <w:t xml:space="preserve">2.1 Study Design</w:t>
      </w:r>
    </w:p>
    <w:p>
      <w:pPr>
        <w:pStyle w:val="FirstParagraph"/>
      </w:pPr>
      <w:r>
        <w:t xml:space="preserve">A retrospective concordance study comparing two independent PGx interpretation pipelines (GenomeGuard v1.0.0 and PharmCAT vlatest) run on identical input VCF files.</w:t>
      </w:r>
    </w:p>
    <w:bookmarkEnd w:id="11"/>
    <w:bookmarkStart w:id="12" w:name="data-source"/>
    <w:p>
      <w:pPr>
        <w:pStyle w:val="Heading3"/>
      </w:pPr>
      <w:r>
        <w:t xml:space="preserve">2.2 Data Source</w:t>
      </w:r>
    </w:p>
    <w:p>
      <w:pPr>
        <w:pStyle w:val="FirstParagraph"/>
      </w:pPr>
      <w:r>
        <w:t xml:space="preserve">Publicly available high-coverage (30x) whole-genome sequencing data from the 1000 Genomes Project (NYGC high-coverage release, GRCh38), accessed via the International Genome Sample Resource (IGSR). The dataset is explicitly consented for unrestricted public use.</w:t>
      </w:r>
    </w:p>
    <w:p>
      <w:pPr>
        <w:pStyle w:val="BodyText"/>
      </w:pPr>
      <w:r>
        <w:rPr>
          <w:b/>
          <w:bCs/>
        </w:rPr>
        <w:t xml:space="preserve">South Asian populations included: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Population Code</w:t>
            </w:r>
          </w:p>
        </w:tc>
        <w:tc>
          <w:tcPr/>
          <w:p>
            <w:pPr>
              <w:pStyle w:val="Compact"/>
              <w:jc w:val="left"/>
            </w:pPr>
            <w:r>
              <w:t xml:space="preserve">Description</w:t>
            </w:r>
          </w:p>
        </w:tc>
        <w:tc>
          <w:tcPr/>
          <w:p>
            <w:pPr>
              <w:pStyle w:val="Compact"/>
              <w:jc w:val="right"/>
            </w:pPr>
            <w:r>
              <w:t xml:space="preserve">N</w:t>
            </w:r>
          </w:p>
        </w:tc>
      </w:tr>
      <w:tr>
        <w:tc>
          <w:tcPr/>
          <w:p>
            <w:pPr>
              <w:pStyle w:val="Compact"/>
              <w:jc w:val="left"/>
            </w:pPr>
            <w:r>
              <w:t xml:space="preserve">PJL</w:t>
            </w:r>
          </w:p>
        </w:tc>
        <w:tc>
          <w:tcPr/>
          <w:p>
            <w:pPr>
              <w:pStyle w:val="Compact"/>
              <w:jc w:val="left"/>
            </w:pPr>
            <w:r>
              <w:t xml:space="preserve">Punjabi in Lahore, Pakistan</w:t>
            </w:r>
          </w:p>
        </w:tc>
        <w:tc>
          <w:tcPr/>
          <w:p>
            <w:pPr>
              <w:pStyle w:val="Compact"/>
              <w:jc w:val="right"/>
            </w:pPr>
            <w:r>
              <w:t xml:space="preserve">146</w:t>
            </w:r>
          </w:p>
        </w:tc>
      </w:tr>
      <w:tr>
        <w:tc>
          <w:tcPr/>
          <w:p>
            <w:pPr>
              <w:pStyle w:val="Compact"/>
              <w:jc w:val="left"/>
            </w:pPr>
            <w:r>
              <w:t xml:space="preserve">BEB</w:t>
            </w:r>
          </w:p>
        </w:tc>
        <w:tc>
          <w:tcPr/>
          <w:p>
            <w:pPr>
              <w:pStyle w:val="Compact"/>
              <w:jc w:val="left"/>
            </w:pPr>
            <w:r>
              <w:t xml:space="preserve">Bengali in Bangladesh</w:t>
            </w:r>
          </w:p>
        </w:tc>
        <w:tc>
          <w:tcPr/>
          <w:p>
            <w:pPr>
              <w:pStyle w:val="Compact"/>
              <w:jc w:val="right"/>
            </w:pPr>
            <w:r>
              <w:t xml:space="preserve">131</w:t>
            </w:r>
          </w:p>
        </w:tc>
      </w:tr>
      <w:tr>
        <w:tc>
          <w:tcPr/>
          <w:p>
            <w:pPr>
              <w:pStyle w:val="Compact"/>
              <w:jc w:val="left"/>
            </w:pPr>
            <w:r>
              <w:t xml:space="preserve">STU</w:t>
            </w:r>
          </w:p>
        </w:tc>
        <w:tc>
          <w:tcPr/>
          <w:p>
            <w:pPr>
              <w:pStyle w:val="Compact"/>
              <w:jc w:val="left"/>
            </w:pPr>
            <w:r>
              <w:t xml:space="preserve">Sri Lankan Tamil in the UK</w:t>
            </w:r>
          </w:p>
        </w:tc>
        <w:tc>
          <w:tcPr/>
          <w:p>
            <w:pPr>
              <w:pStyle w:val="Compact"/>
              <w:jc w:val="right"/>
            </w:pPr>
            <w:r>
              <w:t xml:space="preserve">114</w:t>
            </w:r>
          </w:p>
        </w:tc>
      </w:tr>
      <w:tr>
        <w:tc>
          <w:tcPr/>
          <w:p>
            <w:pPr>
              <w:pStyle w:val="Compact"/>
              <w:jc w:val="left"/>
            </w:pPr>
            <w:r>
              <w:t xml:space="preserve">ITU</w:t>
            </w:r>
          </w:p>
        </w:tc>
        <w:tc>
          <w:tcPr/>
          <w:p>
            <w:pPr>
              <w:pStyle w:val="Compact"/>
              <w:jc w:val="left"/>
            </w:pPr>
            <w:r>
              <w:t xml:space="preserve">Indian Telugu in the UK</w:t>
            </w:r>
          </w:p>
        </w:tc>
        <w:tc>
          <w:tcPr/>
          <w:p>
            <w:pPr>
              <w:pStyle w:val="Compact"/>
              <w:jc w:val="right"/>
            </w:pPr>
            <w:r>
              <w:t xml:space="preserve">107</w:t>
            </w:r>
          </w:p>
        </w:tc>
      </w:tr>
      <w:tr>
        <w:tc>
          <w:tcPr/>
          <w:p>
            <w:pPr>
              <w:pStyle w:val="Compact"/>
              <w:jc w:val="left"/>
            </w:pPr>
            <w:r>
              <w:t xml:space="preserve">GIH</w:t>
            </w:r>
          </w:p>
        </w:tc>
        <w:tc>
          <w:tcPr/>
          <w:p>
            <w:pPr>
              <w:pStyle w:val="Compact"/>
              <w:jc w:val="left"/>
            </w:pPr>
            <w:r>
              <w:t xml:space="preserve">Gujarati Indian in Houston, TX</w:t>
            </w:r>
          </w:p>
        </w:tc>
        <w:tc>
          <w:tcPr/>
          <w:p>
            <w:pPr>
              <w:pStyle w:val="Compact"/>
              <w:jc w:val="right"/>
            </w:pPr>
            <w:r>
              <w:t xml:space="preserve">103</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601</w:t>
            </w:r>
          </w:p>
        </w:tc>
      </w:tr>
    </w:tbl>
    <w:bookmarkEnd w:id="12"/>
    <w:bookmarkStart w:id="13" w:name="variant-extraction"/>
    <w:p>
      <w:pPr>
        <w:pStyle w:val="Heading3"/>
      </w:pPr>
      <w:r>
        <w:t xml:space="preserve">2.3 Variant Extraction</w:t>
      </w:r>
    </w:p>
    <w:p>
      <w:pPr>
        <w:pStyle w:val="FirstParagraph"/>
      </w:pPr>
      <w:r>
        <w:t xml:space="preserve">PGx-relevant positions (43 rsIDs across 0 chromosomes) were extracted from the multi-sample 1000 Genomes VCFs using</w:t>
      </w:r>
      <w:r>
        <w:t xml:space="preserve"> </w:t>
      </w:r>
      <w:r>
        <w:rPr>
          <w:rStyle w:val="VerbatimChar"/>
        </w:rPr>
        <w:t xml:space="preserve">bcftools view</w:t>
      </w:r>
      <w:r>
        <w:t xml:space="preserve"> </w:t>
      </w:r>
      <w:r>
        <w:t xml:space="preserve">with a curated BED file of GRCh38 coordinates. The resulting VCFs were split into single-sample files for independent processing by each tool.</w:t>
      </w:r>
    </w:p>
    <w:bookmarkEnd w:id="13"/>
    <w:bookmarkStart w:id="14" w:name="gene-tier-classification"/>
    <w:p>
      <w:pPr>
        <w:pStyle w:val="Heading3"/>
      </w:pPr>
      <w:r>
        <w:t xml:space="preserve">2.4 Gene Tier Classification</w:t>
      </w:r>
    </w:p>
    <w:p>
      <w:pPr>
        <w:pStyle w:val="FirstParagraph"/>
      </w:pPr>
      <w:r>
        <w:t xml:space="preserve">Genes were classified into two tiers based on the feasibility of VCF-based calling:</w:t>
      </w:r>
    </w:p>
    <w:p>
      <w:pPr>
        <w:pStyle w:val="BodyText"/>
      </w:pPr>
      <w:r>
        <w:rPr>
          <w:b/>
          <w:bCs/>
        </w:rPr>
        <w:t xml:space="preserve">Tier 1 - VCF-callable (validated head-to-head):</w:t>
      </w:r>
      <w:r>
        <w:t xml:space="preserve"> </w:t>
      </w:r>
      <w:r>
        <w:t xml:space="preserve">CYP2C19, CYP2C9, CYP3A4, CYP3A5, DPYD, TPMT, SLCO1B1, UGT1A1, NUDT15, CYP2B6, CYP1A2, CYP2C8, NAT2, VKORC1, IFNL3, ABCG2</w:t>
      </w:r>
    </w:p>
    <w:p>
      <w:pPr>
        <w:pStyle w:val="BodyText"/>
      </w:pPr>
      <w:r>
        <w:rPr>
          <w:b/>
          <w:bCs/>
        </w:rPr>
        <w:t xml:space="preserve">Tier 2 - Requires structural-variant-aware methods (excluded from concordance):</w:t>
      </w:r>
      <w:r>
        <w:t xml:space="preserve"> </w:t>
      </w:r>
      <w:r>
        <w:t xml:space="preserve">CYP2D6, HLA-A, HLA-B, G6PD</w:t>
      </w:r>
    </w:p>
    <w:p>
      <w:pPr>
        <w:pStyle w:val="BodyText"/>
      </w:pPr>
      <w:r>
        <w:t xml:space="preserve">Tier 2 genes (CYP2D6, HLA-A, HLA-B, G6PD) require copy-number analysis, structural variant detection, or long-read phasing that neither tool can reliably perform from short-read VCF data alone. This is an industry-wide limitation, not specific to either tool.</w:t>
      </w:r>
    </w:p>
    <w:bookmarkEnd w:id="14"/>
    <w:bookmarkStart w:id="15" w:name="pipeline-execution"/>
    <w:p>
      <w:pPr>
        <w:pStyle w:val="Heading3"/>
      </w:pPr>
      <w:r>
        <w:t xml:space="preserve">2.5 Pipeline Execution</w:t>
      </w:r>
    </w:p>
    <w:p>
      <w:pPr>
        <w:pStyle w:val="FirstParagraph"/>
      </w:pPr>
      <w:r>
        <w:rPr>
          <w:b/>
          <w:bCs/>
        </w:rPr>
        <w:t xml:space="preserve">GenomeGuard pipeline:</w:t>
      </w:r>
      <w:r>
        <w:t xml:space="preserve"> </w:t>
      </w:r>
      <w:r>
        <w:t xml:space="preserve">VCF -&gt;</w:t>
      </w:r>
      <w:r>
        <w:t xml:space="preserve"> </w:t>
      </w:r>
      <w:r>
        <w:rPr>
          <w:rStyle w:val="VerbatimChar"/>
        </w:rPr>
        <w:t xml:space="preserve">parser.py</w:t>
      </w:r>
      <w:r>
        <w:t xml:space="preserve"> </w:t>
      </w:r>
      <w:r>
        <w:t xml:space="preserve">(VCF parsing) -&gt;</w:t>
      </w:r>
      <w:r>
        <w:t xml:space="preserve"> </w:t>
      </w:r>
      <w:r>
        <w:rPr>
          <w:rStyle w:val="VerbatimChar"/>
        </w:rPr>
        <w:t xml:space="preserve">analyzer.py</w:t>
      </w:r>
      <w:r>
        <w:t xml:space="preserve"> </w:t>
      </w:r>
      <w:r>
        <w:t xml:space="preserve">(rsID lookup -&gt; star-allele assignment -&gt; diplotype construction -&gt; phenotype inference via CPIC activity-score logic).</w:t>
      </w:r>
    </w:p>
    <w:p>
      <w:pPr>
        <w:pStyle w:val="BodyText"/>
      </w:pPr>
      <w:r>
        <w:rPr>
          <w:b/>
          <w:bCs/>
        </w:rPr>
        <w:t xml:space="preserve">PharmCAT pipeline:</w:t>
      </w:r>
      <w:r>
        <w:t xml:space="preserve"> </w:t>
      </w:r>
      <w:r>
        <w:t xml:space="preserve">VCF -&gt; VCF Preprocessor (normalisation) -&gt; Named Allele Matcher -&gt; Phenotyper -&gt; Reporter. Run via the official Docker image (</w:t>
      </w:r>
      <w:r>
        <w:rPr>
          <w:rStyle w:val="VerbatimChar"/>
        </w:rPr>
        <w:t xml:space="preserve">pgkb/pharmcat</w:t>
      </w:r>
      <w:r>
        <w:t xml:space="preserve">).</w:t>
      </w:r>
    </w:p>
    <w:bookmarkEnd w:id="15"/>
    <w:bookmarkStart w:id="16" w:name="concordance-metrics"/>
    <w:p>
      <w:pPr>
        <w:pStyle w:val="Heading3"/>
      </w:pPr>
      <w:r>
        <w:t xml:space="preserve">2.6 Concordance Metrics</w:t>
      </w:r>
    </w:p>
    <w:p>
      <w:pPr>
        <w:pStyle w:val="Compact"/>
        <w:numPr>
          <w:ilvl w:val="0"/>
          <w:numId w:val="1001"/>
        </w:numPr>
      </w:pPr>
      <w:r>
        <w:rPr>
          <w:b/>
          <w:bCs/>
        </w:rPr>
        <w:t xml:space="preserve">Diplotype concordance:</w:t>
      </w:r>
      <w:r>
        <w:t xml:space="preserve"> </w:t>
      </w:r>
      <w:r>
        <w:t xml:space="preserve">Exact string match after canonical ordering (lower allele first).</w:t>
      </w:r>
    </w:p>
    <w:p>
      <w:pPr>
        <w:pStyle w:val="Compact"/>
        <w:numPr>
          <w:ilvl w:val="0"/>
          <w:numId w:val="1001"/>
        </w:numPr>
      </w:pPr>
      <w:r>
        <w:rPr>
          <w:b/>
          <w:bCs/>
        </w:rPr>
        <w:t xml:space="preserve">Phenotype concordance:</w:t>
      </w:r>
      <w:r>
        <w:t xml:space="preserve"> </w:t>
      </w:r>
      <w:r>
        <w:t xml:space="preserve">Match after normalisation (e.g.,</w:t>
      </w:r>
      <w:r>
        <w:t xml:space="preserve"> </w:t>
      </w:r>
      <w:r>
        <w:t xml:space="preserve">“Extensive Metabolizer”</w:t>
      </w:r>
      <w:r>
        <w:t xml:space="preserve"> </w:t>
      </w:r>
      <w:r>
        <w:t xml:space="preserve">=</w:t>
      </w:r>
      <w:r>
        <w:t xml:space="preserve"> </w:t>
      </w:r>
      <w:r>
        <w:t xml:space="preserve">“Normal Metabolizer”</w:t>
      </w:r>
      <w:r>
        <w:t xml:space="preserve">).</w:t>
      </w:r>
    </w:p>
    <w:bookmarkEnd w:id="16"/>
    <w:bookmarkStart w:id="17" w:name="mismatch-triage"/>
    <w:p>
      <w:pPr>
        <w:pStyle w:val="Heading3"/>
      </w:pPr>
      <w:r>
        <w:t xml:space="preserve">2.7 Mismatch Triage</w:t>
      </w:r>
    </w:p>
    <w:p>
      <w:pPr>
        <w:pStyle w:val="FirstParagraph"/>
      </w:pPr>
      <w:r>
        <w:t xml:space="preserve">Each disagreement was classified by root cause in priority order:</w:t>
      </w:r>
      <w:r>
        <w:t xml:space="preserve"> </w:t>
      </w:r>
      <w:r>
        <w:t xml:space="preserve">1.</w:t>
      </w:r>
      <w:r>
        <w:t xml:space="preserve"> </w:t>
      </w:r>
      <w:r>
        <w:rPr>
          <w:b/>
          <w:bCs/>
        </w:rPr>
        <w:t xml:space="preserve">Allele-definition version mismatch</w:t>
      </w:r>
      <w:r>
        <w:t xml:space="preserve"> </w:t>
      </w:r>
      <w:r>
        <w:t xml:space="preserve">- PharmVar star-allele definition updates between tool versions.</w:t>
      </w:r>
      <w:r>
        <w:t xml:space="preserve"> </w:t>
      </w:r>
      <w:r>
        <w:t xml:space="preserve">2.</w:t>
      </w:r>
      <w:r>
        <w:t xml:space="preserve"> </w:t>
      </w:r>
      <w:r>
        <w:rPr>
          <w:b/>
          <w:bCs/>
        </w:rPr>
        <w:t xml:space="preserve">Notation divergence</w:t>
      </w:r>
      <w:r>
        <w:t xml:space="preserve"> </w:t>
      </w:r>
      <w:r>
        <w:t xml:space="preserve">- Differing nomenclature or functional status mapping for specific variants.</w:t>
      </w:r>
      <w:r>
        <w:t xml:space="preserve"> </w:t>
      </w:r>
      <w:r>
        <w:t xml:space="preserve">3.</w:t>
      </w:r>
      <w:r>
        <w:t xml:space="preserve"> </w:t>
      </w:r>
      <w:r>
        <w:rPr>
          <w:b/>
          <w:bCs/>
        </w:rPr>
        <w:t xml:space="preserve">Missing variant coverage</w:t>
      </w:r>
      <w:r>
        <w:t xml:space="preserve"> </w:t>
      </w:r>
      <w:r>
        <w:t xml:space="preserve">- VCF lacked genotype data at one or more defining positions for the gene.</w:t>
      </w:r>
      <w:r>
        <w:t xml:space="preserve"> </w:t>
      </w:r>
      <w:r>
        <w:t xml:space="preserve">4.</w:t>
      </w:r>
      <w:r>
        <w:t xml:space="preserve"> </w:t>
      </w:r>
      <w:r>
        <w:rPr>
          <w:b/>
          <w:bCs/>
        </w:rPr>
        <w:t xml:space="preserve">Logic difference</w:t>
      </w:r>
      <w:r>
        <w:t xml:space="preserve"> </w:t>
      </w:r>
      <w:r>
        <w:t xml:space="preserve">- Genuine disagreement in the calling algorithm, flagged for manual review.</w:t>
      </w:r>
    </w:p>
    <w:p>
      <w:r>
        <w:pict>
          <v:rect style="width:0;height:1.5pt" o:hralign="center" o:hrstd="t" o:hr="t"/>
        </w:pict>
      </w:r>
    </w:p>
    <w:bookmarkEnd w:id="17"/>
    <w:bookmarkEnd w:id="18"/>
    <w:bookmarkStart w:id="24" w:name="results"/>
    <w:p>
      <w:pPr>
        <w:pStyle w:val="Heading2"/>
      </w:pPr>
      <w:r>
        <w:t xml:space="preserve">3. Results</w:t>
      </w:r>
    </w:p>
    <w:bookmarkStart w:id="19" w:name="per-gene-concordance"/>
    <w:p>
      <w:pPr>
        <w:pStyle w:val="Heading3"/>
      </w:pPr>
      <w:r>
        <w:t xml:space="preserve">3.1 Per-Gene Concordance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Gene</w:t>
            </w:r>
          </w:p>
        </w:tc>
        <w:tc>
          <w:tcPr/>
          <w:p>
            <w:pPr>
              <w:pStyle w:val="Compact"/>
              <w:jc w:val="right"/>
            </w:pPr>
            <w:r>
              <w:t xml:space="preserve">N Comparisons</w:t>
            </w:r>
          </w:p>
        </w:tc>
        <w:tc>
          <w:tcPr/>
          <w:p>
            <w:pPr>
              <w:pStyle w:val="Compact"/>
              <w:jc w:val="right"/>
            </w:pPr>
            <w:r>
              <w:t xml:space="preserve">Diplotype Concordance (%)</w:t>
            </w:r>
          </w:p>
        </w:tc>
        <w:tc>
          <w:tcPr/>
          <w:p>
            <w:pPr>
              <w:pStyle w:val="Compact"/>
              <w:jc w:val="right"/>
            </w:pPr>
            <w:r>
              <w:t xml:space="preserve">Phenotype Concordance (%)</w:t>
            </w:r>
          </w:p>
        </w:tc>
        <w:tc>
          <w:tcPr/>
          <w:p>
            <w:pPr>
              <w:pStyle w:val="Compact"/>
              <w:jc w:val="right"/>
            </w:pPr>
            <w:r>
              <w:t xml:space="preserve">Mismatches</w:t>
            </w:r>
          </w:p>
        </w:tc>
      </w:tr>
      <w:tr>
        <w:tc>
          <w:tcPr/>
          <w:p>
            <w:pPr>
              <w:pStyle w:val="Compact"/>
              <w:jc w:val="left"/>
            </w:pPr>
            <w:r>
              <w:t xml:space="preserve">ABCG2</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99.67</w:t>
            </w:r>
          </w:p>
        </w:tc>
        <w:tc>
          <w:tcPr/>
          <w:p>
            <w:pPr>
              <w:pStyle w:val="Compact"/>
              <w:jc w:val="right"/>
            </w:pPr>
            <w:r>
              <w:t xml:space="preserve">2</w:t>
            </w:r>
          </w:p>
        </w:tc>
      </w:tr>
      <w:tr>
        <w:tc>
          <w:tcPr/>
          <w:p>
            <w:pPr>
              <w:pStyle w:val="Compact"/>
              <w:jc w:val="left"/>
            </w:pPr>
            <w:r>
              <w:t xml:space="preserve">CYP2B6</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w:t>
            </w:r>
          </w:p>
        </w:tc>
      </w:tr>
      <w:tr>
        <w:tc>
          <w:tcPr/>
          <w:p>
            <w:pPr>
              <w:pStyle w:val="Compact"/>
              <w:jc w:val="left"/>
            </w:pPr>
            <w:r>
              <w:t xml:space="preserve">CYP2C19</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w:t>
            </w:r>
          </w:p>
        </w:tc>
      </w:tr>
      <w:tr>
        <w:tc>
          <w:tcPr/>
          <w:p>
            <w:pPr>
              <w:pStyle w:val="Compact"/>
              <w:jc w:val="left"/>
            </w:pPr>
            <w:r>
              <w:t xml:space="preserve">CYP2C9</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w:t>
            </w:r>
          </w:p>
        </w:tc>
      </w:tr>
      <w:tr>
        <w:tc>
          <w:tcPr/>
          <w:p>
            <w:pPr>
              <w:pStyle w:val="Compact"/>
              <w:jc w:val="left"/>
            </w:pPr>
            <w:r>
              <w:t xml:space="preserve">CYP3A4</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w:t>
            </w:r>
          </w:p>
        </w:tc>
      </w:tr>
      <w:tr>
        <w:tc>
          <w:tcPr/>
          <w:p>
            <w:pPr>
              <w:pStyle w:val="Compact"/>
              <w:jc w:val="left"/>
            </w:pPr>
            <w:r>
              <w:t xml:space="preserve">CYP3A5</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w:t>
            </w:r>
          </w:p>
        </w:tc>
      </w:tr>
      <w:tr>
        <w:tc>
          <w:tcPr/>
          <w:p>
            <w:pPr>
              <w:pStyle w:val="Compact"/>
              <w:jc w:val="left"/>
            </w:pPr>
            <w:r>
              <w:t xml:space="preserve">DPYD</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w:t>
            </w:r>
          </w:p>
        </w:tc>
      </w:tr>
      <w:tr>
        <w:tc>
          <w:tcPr/>
          <w:p>
            <w:pPr>
              <w:pStyle w:val="Compact"/>
              <w:jc w:val="left"/>
            </w:pPr>
            <w:r>
              <w:t xml:space="preserve">IFNL3</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N/A</w:t>
            </w:r>
          </w:p>
        </w:tc>
        <w:tc>
          <w:tcPr/>
          <w:p>
            <w:pPr>
              <w:pStyle w:val="Compact"/>
              <w:jc w:val="right"/>
            </w:pPr>
            <w:r>
              <w:t xml:space="preserve">0</w:t>
            </w:r>
          </w:p>
        </w:tc>
      </w:tr>
      <w:tr>
        <w:tc>
          <w:tcPr/>
          <w:p>
            <w:pPr>
              <w:pStyle w:val="Compact"/>
              <w:jc w:val="left"/>
            </w:pPr>
            <w:r>
              <w:t xml:space="preserve">NUDT15</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w:t>
            </w:r>
          </w:p>
        </w:tc>
      </w:tr>
      <w:tr>
        <w:tc>
          <w:tcPr/>
          <w:p>
            <w:pPr>
              <w:pStyle w:val="Compact"/>
              <w:jc w:val="left"/>
            </w:pPr>
            <w:r>
              <w:t xml:space="preserve">SLCO1B1</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w:t>
            </w:r>
          </w:p>
        </w:tc>
      </w:tr>
      <w:tr>
        <w:tc>
          <w:tcPr/>
          <w:p>
            <w:pPr>
              <w:pStyle w:val="Compact"/>
              <w:jc w:val="left"/>
            </w:pPr>
            <w:r>
              <w:t xml:space="preserve">TPMT</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w:t>
            </w:r>
          </w:p>
        </w:tc>
      </w:tr>
      <w:tr>
        <w:tc>
          <w:tcPr/>
          <w:p>
            <w:pPr>
              <w:pStyle w:val="Compact"/>
              <w:jc w:val="left"/>
            </w:pPr>
            <w:r>
              <w:t xml:space="preserve">UGT1A1</w:t>
            </w:r>
          </w:p>
        </w:tc>
        <w:tc>
          <w:tcPr/>
          <w:p>
            <w:pPr>
              <w:pStyle w:val="Compact"/>
              <w:jc w:val="right"/>
            </w:pPr>
            <w:r>
              <w:t xml:space="preserve">598</w:t>
            </w:r>
          </w:p>
        </w:tc>
        <w:tc>
          <w:tcPr/>
          <w:p>
            <w:pPr>
              <w:pStyle w:val="Compact"/>
              <w:jc w:val="right"/>
            </w:pPr>
            <w:r>
              <w:t xml:space="preserve">99.33</w:t>
            </w:r>
          </w:p>
        </w:tc>
        <w:tc>
          <w:tcPr/>
          <w:p>
            <w:pPr>
              <w:pStyle w:val="Compact"/>
              <w:jc w:val="right"/>
            </w:pPr>
            <w:r>
              <w:t xml:space="preserve">99.83</w:t>
            </w:r>
          </w:p>
        </w:tc>
        <w:tc>
          <w:tcPr/>
          <w:p>
            <w:pPr>
              <w:pStyle w:val="Compact"/>
              <w:jc w:val="right"/>
            </w:pPr>
            <w:r>
              <w:t xml:space="preserve">4</w:t>
            </w:r>
          </w:p>
        </w:tc>
      </w:tr>
      <w:tr>
        <w:tc>
          <w:tcPr/>
          <w:p>
            <w:pPr>
              <w:pStyle w:val="Compact"/>
              <w:jc w:val="left"/>
            </w:pPr>
            <w:r>
              <w:t xml:space="preserve">VKORC1</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w:t>
            </w:r>
          </w:p>
        </w:tc>
      </w:tr>
    </w:tbl>
    <w:bookmarkEnd w:id="19"/>
    <w:bookmarkStart w:id="20" w:name="population-breakdown"/>
    <w:p>
      <w:pPr>
        <w:pStyle w:val="Heading3"/>
      </w:pPr>
      <w:r>
        <w:t xml:space="preserve">3.2 Population Breakdown</w:t>
      </w:r>
    </w:p>
    <w:p>
      <w:pPr>
        <w:pStyle w:val="FirstParagraph"/>
      </w:pPr>
      <w:r>
        <w:rPr>
          <w:b/>
          <w:bCs/>
        </w:rPr>
        <w:t xml:space="preserve">PJL (Punjabi in Lahore, Pakistan, N=146):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Gene</w:t>
            </w:r>
          </w:p>
        </w:tc>
        <w:tc>
          <w:tcPr/>
          <w:p>
            <w:pPr>
              <w:pStyle w:val="Compact"/>
              <w:jc w:val="right"/>
            </w:pPr>
            <w:r>
              <w:t xml:space="preserve">Diplotype Concordance (%)</w:t>
            </w:r>
          </w:p>
        </w:tc>
        <w:tc>
          <w:tcPr/>
          <w:p>
            <w:pPr>
              <w:pStyle w:val="Compact"/>
              <w:jc w:val="right"/>
            </w:pPr>
            <w:r>
              <w:t xml:space="preserve">Phenotype Concordance (%)</w:t>
            </w:r>
          </w:p>
        </w:tc>
      </w:tr>
      <w:tr>
        <w:tc>
          <w:tcPr/>
          <w:p>
            <w:pPr>
              <w:pStyle w:val="Compact"/>
              <w:jc w:val="left"/>
            </w:pPr>
            <w:r>
              <w:t xml:space="preserve">ABCG2</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CYP2B6</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CYP2C19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CYP2C9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CYP3A4</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CYP3A5</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DPYD</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IFNL3</w:t>
            </w:r>
          </w:p>
        </w:tc>
        <w:tc>
          <w:tcPr/>
          <w:p>
            <w:pPr>
              <w:pStyle w:val="Compact"/>
              <w:jc w:val="right"/>
            </w:pPr>
            <w:r>
              <w:t xml:space="preserve">100.0</w:t>
            </w:r>
          </w:p>
        </w:tc>
        <w:tc>
          <w:tcPr/>
          <w:p>
            <w:pPr>
              <w:pStyle w:val="Compact"/>
              <w:jc w:val="right"/>
            </w:pPr>
            <w:r>
              <w:t xml:space="preserve">N/A</w:t>
            </w:r>
          </w:p>
        </w:tc>
      </w:tr>
      <w:tr>
        <w:tc>
          <w:tcPr/>
          <w:p>
            <w:pPr>
              <w:pStyle w:val="Compact"/>
              <w:jc w:val="left"/>
            </w:pPr>
            <w:r>
              <w:t xml:space="preserve">NUDT15</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SLCO1B1</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TPMT</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UGT1A1</w:t>
            </w:r>
          </w:p>
        </w:tc>
        <w:tc>
          <w:tcPr/>
          <w:p>
            <w:pPr>
              <w:pStyle w:val="Compact"/>
              <w:jc w:val="right"/>
            </w:pPr>
            <w:r>
              <w:t xml:space="preserve">98.63</w:t>
            </w:r>
          </w:p>
        </w:tc>
        <w:tc>
          <w:tcPr/>
          <w:p>
            <w:pPr>
              <w:pStyle w:val="Compact"/>
              <w:jc w:val="right"/>
            </w:pPr>
            <w:r>
              <w:t xml:space="preserve">99.32</w:t>
            </w:r>
          </w:p>
        </w:tc>
      </w:tr>
      <w:tr>
        <w:tc>
          <w:tcPr/>
          <w:p>
            <w:pPr>
              <w:pStyle w:val="Compact"/>
              <w:jc w:val="left"/>
            </w:pPr>
            <w:r>
              <w:t xml:space="preserve">VKORC1</w:t>
            </w:r>
          </w:p>
        </w:tc>
        <w:tc>
          <w:tcPr/>
          <w:p>
            <w:pPr>
              <w:pStyle w:val="Compact"/>
              <w:jc w:val="right"/>
            </w:pPr>
            <w:r>
              <w:t xml:space="preserve">100.0</w:t>
            </w:r>
          </w:p>
        </w:tc>
        <w:tc>
          <w:tcPr/>
          <w:p>
            <w:pPr>
              <w:pStyle w:val="Compact"/>
              <w:jc w:val="right"/>
            </w:pPr>
            <w:r>
              <w:t xml:space="preserve">100.0</w:t>
            </w:r>
          </w:p>
        </w:tc>
      </w:tr>
    </w:tbl>
    <w:p>
      <w:pPr>
        <w:pStyle w:val="BodyText"/>
      </w:pPr>
      <w:r>
        <w:rPr>
          <w:b/>
          <w:bCs/>
        </w:rPr>
        <w:t xml:space="preserve">BEB (Bengali in Bangladesh, N=131):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Gene</w:t>
            </w:r>
          </w:p>
        </w:tc>
        <w:tc>
          <w:tcPr/>
          <w:p>
            <w:pPr>
              <w:pStyle w:val="Compact"/>
              <w:jc w:val="right"/>
            </w:pPr>
            <w:r>
              <w:t xml:space="preserve">Diplotype Concordance (%)</w:t>
            </w:r>
          </w:p>
        </w:tc>
        <w:tc>
          <w:tcPr/>
          <w:p>
            <w:pPr>
              <w:pStyle w:val="Compact"/>
              <w:jc w:val="right"/>
            </w:pPr>
            <w:r>
              <w:t xml:space="preserve">Phenotype Concordance (%)</w:t>
            </w:r>
          </w:p>
        </w:tc>
      </w:tr>
      <w:tr>
        <w:tc>
          <w:tcPr/>
          <w:p>
            <w:pPr>
              <w:pStyle w:val="Compact"/>
              <w:jc w:val="left"/>
            </w:pPr>
            <w:r>
              <w:t xml:space="preserve">ABCG2</w:t>
            </w:r>
          </w:p>
        </w:tc>
        <w:tc>
          <w:tcPr/>
          <w:p>
            <w:pPr>
              <w:pStyle w:val="Compact"/>
              <w:jc w:val="right"/>
            </w:pPr>
            <w:r>
              <w:t xml:space="preserve">100.0</w:t>
            </w:r>
          </w:p>
        </w:tc>
        <w:tc>
          <w:tcPr/>
          <w:p>
            <w:pPr>
              <w:pStyle w:val="Compact"/>
              <w:jc w:val="right"/>
            </w:pPr>
            <w:r>
              <w:t xml:space="preserve">99.24</w:t>
            </w:r>
          </w:p>
        </w:tc>
      </w:tr>
      <w:tr>
        <w:tc>
          <w:tcPr/>
          <w:p>
            <w:pPr>
              <w:pStyle w:val="Compact"/>
              <w:jc w:val="left"/>
            </w:pPr>
            <w:r>
              <w:t xml:space="preserve">CYP2B6</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CYP2C19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CYP2C9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CYP3A4</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CYP3A5</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DPYD</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IFNL3</w:t>
            </w:r>
          </w:p>
        </w:tc>
        <w:tc>
          <w:tcPr/>
          <w:p>
            <w:pPr>
              <w:pStyle w:val="Compact"/>
              <w:jc w:val="right"/>
            </w:pPr>
            <w:r>
              <w:t xml:space="preserve">100.0</w:t>
            </w:r>
          </w:p>
        </w:tc>
        <w:tc>
          <w:tcPr/>
          <w:p>
            <w:pPr>
              <w:pStyle w:val="Compact"/>
              <w:jc w:val="right"/>
            </w:pPr>
            <w:r>
              <w:t xml:space="preserve">N/A</w:t>
            </w:r>
          </w:p>
        </w:tc>
      </w:tr>
      <w:tr>
        <w:tc>
          <w:tcPr/>
          <w:p>
            <w:pPr>
              <w:pStyle w:val="Compact"/>
              <w:jc w:val="left"/>
            </w:pPr>
            <w:r>
              <w:t xml:space="preserve">NUDT15</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SLCO1B1</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TPMT</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UGT1A1</w:t>
            </w:r>
          </w:p>
        </w:tc>
        <w:tc>
          <w:tcPr/>
          <w:p>
            <w:pPr>
              <w:pStyle w:val="Compact"/>
              <w:jc w:val="right"/>
            </w:pPr>
            <w:r>
              <w:t xml:space="preserve">98.46</w:t>
            </w:r>
          </w:p>
        </w:tc>
        <w:tc>
          <w:tcPr/>
          <w:p>
            <w:pPr>
              <w:pStyle w:val="Compact"/>
              <w:jc w:val="right"/>
            </w:pPr>
            <w:r>
              <w:t xml:space="preserve">100.0</w:t>
            </w:r>
          </w:p>
        </w:tc>
      </w:tr>
      <w:tr>
        <w:tc>
          <w:tcPr/>
          <w:p>
            <w:pPr>
              <w:pStyle w:val="Compact"/>
              <w:jc w:val="left"/>
            </w:pPr>
            <w:r>
              <w:t xml:space="preserve">VKORC1</w:t>
            </w:r>
          </w:p>
        </w:tc>
        <w:tc>
          <w:tcPr/>
          <w:p>
            <w:pPr>
              <w:pStyle w:val="Compact"/>
              <w:jc w:val="right"/>
            </w:pPr>
            <w:r>
              <w:t xml:space="preserve">100.0</w:t>
            </w:r>
          </w:p>
        </w:tc>
        <w:tc>
          <w:tcPr/>
          <w:p>
            <w:pPr>
              <w:pStyle w:val="Compact"/>
              <w:jc w:val="right"/>
            </w:pPr>
            <w:r>
              <w:t xml:space="preserve">100.0</w:t>
            </w:r>
          </w:p>
        </w:tc>
      </w:tr>
    </w:tbl>
    <w:p>
      <w:pPr>
        <w:pStyle w:val="BodyText"/>
      </w:pPr>
      <w:r>
        <w:rPr>
          <w:b/>
          <w:bCs/>
        </w:rPr>
        <w:t xml:space="preserve">STU (Sri Lankan Tamil in the UK, N=114):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Gene</w:t>
            </w:r>
          </w:p>
        </w:tc>
        <w:tc>
          <w:tcPr/>
          <w:p>
            <w:pPr>
              <w:pStyle w:val="Compact"/>
              <w:jc w:val="right"/>
            </w:pPr>
            <w:r>
              <w:t xml:space="preserve">Diplotype Concordance (%)</w:t>
            </w:r>
          </w:p>
        </w:tc>
        <w:tc>
          <w:tcPr/>
          <w:p>
            <w:pPr>
              <w:pStyle w:val="Compact"/>
              <w:jc w:val="right"/>
            </w:pPr>
            <w:r>
              <w:t xml:space="preserve">Phenotype Concordance (%)</w:t>
            </w:r>
          </w:p>
        </w:tc>
      </w:tr>
      <w:tr>
        <w:tc>
          <w:tcPr/>
          <w:p>
            <w:pPr>
              <w:pStyle w:val="Compact"/>
              <w:jc w:val="left"/>
            </w:pPr>
            <w:r>
              <w:t xml:space="preserve">ABCG2</w:t>
            </w:r>
          </w:p>
        </w:tc>
        <w:tc>
          <w:tcPr/>
          <w:p>
            <w:pPr>
              <w:pStyle w:val="Compact"/>
              <w:jc w:val="right"/>
            </w:pPr>
            <w:r>
              <w:t xml:space="preserve">100.0</w:t>
            </w:r>
          </w:p>
        </w:tc>
        <w:tc>
          <w:tcPr/>
          <w:p>
            <w:pPr>
              <w:pStyle w:val="Compact"/>
              <w:jc w:val="right"/>
            </w:pPr>
            <w:r>
              <w:t xml:space="preserve">99.12</w:t>
            </w:r>
          </w:p>
        </w:tc>
      </w:tr>
      <w:tr>
        <w:tc>
          <w:tcPr/>
          <w:p>
            <w:pPr>
              <w:pStyle w:val="Compact"/>
              <w:jc w:val="left"/>
            </w:pPr>
            <w:r>
              <w:t xml:space="preserve">CYP2B6</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CYP2C19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CYP2C9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CYP3A4</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CYP3A5</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DPYD</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IFNL3</w:t>
            </w:r>
          </w:p>
        </w:tc>
        <w:tc>
          <w:tcPr/>
          <w:p>
            <w:pPr>
              <w:pStyle w:val="Compact"/>
              <w:jc w:val="right"/>
            </w:pPr>
            <w:r>
              <w:t xml:space="preserve">100.0</w:t>
            </w:r>
          </w:p>
        </w:tc>
        <w:tc>
          <w:tcPr/>
          <w:p>
            <w:pPr>
              <w:pStyle w:val="Compact"/>
              <w:jc w:val="right"/>
            </w:pPr>
            <w:r>
              <w:t xml:space="preserve">N/A</w:t>
            </w:r>
          </w:p>
        </w:tc>
      </w:tr>
      <w:tr>
        <w:tc>
          <w:tcPr/>
          <w:p>
            <w:pPr>
              <w:pStyle w:val="Compact"/>
              <w:jc w:val="left"/>
            </w:pPr>
            <w:r>
              <w:t xml:space="preserve">NUDT15</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SLCO1B1</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TPMT</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UGT1A1</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VKORC1</w:t>
            </w:r>
          </w:p>
        </w:tc>
        <w:tc>
          <w:tcPr/>
          <w:p>
            <w:pPr>
              <w:pStyle w:val="Compact"/>
              <w:jc w:val="right"/>
            </w:pPr>
            <w:r>
              <w:t xml:space="preserve">100.0</w:t>
            </w:r>
          </w:p>
        </w:tc>
        <w:tc>
          <w:tcPr/>
          <w:p>
            <w:pPr>
              <w:pStyle w:val="Compact"/>
              <w:jc w:val="right"/>
            </w:pPr>
            <w:r>
              <w:t xml:space="preserve">100.0</w:t>
            </w:r>
          </w:p>
        </w:tc>
      </w:tr>
    </w:tbl>
    <w:p>
      <w:pPr>
        <w:pStyle w:val="BodyText"/>
      </w:pPr>
      <w:r>
        <w:rPr>
          <w:b/>
          <w:bCs/>
        </w:rPr>
        <w:t xml:space="preserve">ITU (Indian Telugu in the UK, N=107):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Gene</w:t>
            </w:r>
          </w:p>
        </w:tc>
        <w:tc>
          <w:tcPr/>
          <w:p>
            <w:pPr>
              <w:pStyle w:val="Compact"/>
              <w:jc w:val="right"/>
            </w:pPr>
            <w:r>
              <w:t xml:space="preserve">Diplotype Concordance (%)</w:t>
            </w:r>
          </w:p>
        </w:tc>
        <w:tc>
          <w:tcPr/>
          <w:p>
            <w:pPr>
              <w:pStyle w:val="Compact"/>
              <w:jc w:val="right"/>
            </w:pPr>
            <w:r>
              <w:t xml:space="preserve">Phenotype Concordance (%)</w:t>
            </w:r>
          </w:p>
        </w:tc>
      </w:tr>
      <w:tr>
        <w:tc>
          <w:tcPr/>
          <w:p>
            <w:pPr>
              <w:pStyle w:val="Compact"/>
              <w:jc w:val="left"/>
            </w:pPr>
            <w:r>
              <w:t xml:space="preserve">ABCG2</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CYP2B6</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CYP2C19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CYP2C9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CYP3A4</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CYP3A5</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DPYD</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IFNL3</w:t>
            </w:r>
          </w:p>
        </w:tc>
        <w:tc>
          <w:tcPr/>
          <w:p>
            <w:pPr>
              <w:pStyle w:val="Compact"/>
              <w:jc w:val="right"/>
            </w:pPr>
            <w:r>
              <w:t xml:space="preserve">100.0</w:t>
            </w:r>
          </w:p>
        </w:tc>
        <w:tc>
          <w:tcPr/>
          <w:p>
            <w:pPr>
              <w:pStyle w:val="Compact"/>
              <w:jc w:val="right"/>
            </w:pPr>
            <w:r>
              <w:t xml:space="preserve">N/A</w:t>
            </w:r>
          </w:p>
        </w:tc>
      </w:tr>
      <w:tr>
        <w:tc>
          <w:tcPr/>
          <w:p>
            <w:pPr>
              <w:pStyle w:val="Compact"/>
              <w:jc w:val="left"/>
            </w:pPr>
            <w:r>
              <w:t xml:space="preserve">NUDT15</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SLCO1B1</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TPMT</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UGT1A1</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VKORC1</w:t>
            </w:r>
          </w:p>
        </w:tc>
        <w:tc>
          <w:tcPr/>
          <w:p>
            <w:pPr>
              <w:pStyle w:val="Compact"/>
              <w:jc w:val="right"/>
            </w:pPr>
            <w:r>
              <w:t xml:space="preserve">100.0</w:t>
            </w:r>
          </w:p>
        </w:tc>
        <w:tc>
          <w:tcPr/>
          <w:p>
            <w:pPr>
              <w:pStyle w:val="Compact"/>
              <w:jc w:val="right"/>
            </w:pPr>
            <w:r>
              <w:t xml:space="preserve">100.0</w:t>
            </w:r>
          </w:p>
        </w:tc>
      </w:tr>
    </w:tbl>
    <w:p>
      <w:pPr>
        <w:pStyle w:val="BodyText"/>
      </w:pPr>
      <w:r>
        <w:rPr>
          <w:b/>
          <w:bCs/>
        </w:rPr>
        <w:t xml:space="preserve">GIH (Gujarati Indian in Houston, TX, N=103):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Gene</w:t>
            </w:r>
          </w:p>
        </w:tc>
        <w:tc>
          <w:tcPr/>
          <w:p>
            <w:pPr>
              <w:pStyle w:val="Compact"/>
              <w:jc w:val="right"/>
            </w:pPr>
            <w:r>
              <w:t xml:space="preserve">Diplotype Concordance (%)</w:t>
            </w:r>
          </w:p>
        </w:tc>
        <w:tc>
          <w:tcPr/>
          <w:p>
            <w:pPr>
              <w:pStyle w:val="Compact"/>
              <w:jc w:val="right"/>
            </w:pPr>
            <w:r>
              <w:t xml:space="preserve">Phenotype Concordance (%)</w:t>
            </w:r>
          </w:p>
        </w:tc>
      </w:tr>
      <w:tr>
        <w:tc>
          <w:tcPr/>
          <w:p>
            <w:pPr>
              <w:pStyle w:val="Compact"/>
              <w:jc w:val="left"/>
            </w:pPr>
            <w:r>
              <w:t xml:space="preserve">ABCG2</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CYP2B6</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CYP2C19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CYP2C9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CYP3A4</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CYP3A5</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DPYD</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IFNL3</w:t>
            </w:r>
          </w:p>
        </w:tc>
        <w:tc>
          <w:tcPr/>
          <w:p>
            <w:pPr>
              <w:pStyle w:val="Compact"/>
              <w:jc w:val="right"/>
            </w:pPr>
            <w:r>
              <w:t xml:space="preserve">100.0</w:t>
            </w:r>
          </w:p>
        </w:tc>
        <w:tc>
          <w:tcPr/>
          <w:p>
            <w:pPr>
              <w:pStyle w:val="Compact"/>
              <w:jc w:val="right"/>
            </w:pPr>
            <w:r>
              <w:t xml:space="preserve">N/A</w:t>
            </w:r>
          </w:p>
        </w:tc>
      </w:tr>
      <w:tr>
        <w:tc>
          <w:tcPr/>
          <w:p>
            <w:pPr>
              <w:pStyle w:val="Compact"/>
              <w:jc w:val="left"/>
            </w:pPr>
            <w:r>
              <w:t xml:space="preserve">NUDT15</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SLCO1B1</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TPMT</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UGT1A1</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VKORC1</w:t>
            </w:r>
          </w:p>
        </w:tc>
        <w:tc>
          <w:tcPr/>
          <w:p>
            <w:pPr>
              <w:pStyle w:val="Compact"/>
              <w:jc w:val="right"/>
            </w:pPr>
            <w:r>
              <w:t xml:space="preserve">100.0</w:t>
            </w:r>
          </w:p>
        </w:tc>
        <w:tc>
          <w:tcPr/>
          <w:p>
            <w:pPr>
              <w:pStyle w:val="Compact"/>
              <w:jc w:val="right"/>
            </w:pPr>
            <w:r>
              <w:t xml:space="preserve">100.0</w:t>
            </w:r>
          </w:p>
        </w:tc>
      </w:tr>
    </w:tbl>
    <w:bookmarkEnd w:id="20"/>
    <w:bookmarkStart w:id="21" w:name="mismatch-triage-summary"/>
    <w:p>
      <w:pPr>
        <w:pStyle w:val="Heading3"/>
      </w:pPr>
      <w:r>
        <w:t xml:space="preserve">3.3 Mismatch Triage Summary</w:t>
      </w:r>
    </w:p>
    <w:p>
      <w:pPr>
        <w:pStyle w:val="FirstParagraph"/>
      </w:pPr>
      <w:r>
        <w:t xml:space="preserve">Each of the</w:t>
      </w:r>
      <w:r>
        <w:t xml:space="preserve"> </w:t>
      </w:r>
      <w:r>
        <w:rPr>
          <w:b/>
          <w:bCs/>
        </w:rPr>
        <w:t xml:space="preserve">6</w:t>
      </w:r>
      <w:r>
        <w:t xml:space="preserve"> </w:t>
      </w:r>
      <w:r>
        <w:t xml:space="preserve">discrepancies was classified by root cause:</w:t>
      </w:r>
      <w:r>
        <w:t xml:space="preserve"> </w:t>
      </w:r>
      <w:r>
        <w:t xml:space="preserve">-</w:t>
      </w:r>
      <w:r>
        <w:t xml:space="preserve"> </w:t>
      </w:r>
      <w:r>
        <w:rPr>
          <w:b/>
          <w:bCs/>
        </w:rPr>
        <w:t xml:space="preserve">Allele-definition version (4, 66.7%)</w:t>
      </w:r>
      <w:r>
        <w:t xml:space="preserve">: Differences due to structural updates in PharmVar allele definitions between the older version bundled in GenomeGuard and the newer version in PharmCAT.</w:t>
      </w:r>
      <w:r>
        <w:t xml:space="preserve"> </w:t>
      </w:r>
      <w:r>
        <w:t xml:space="preserve">-</w:t>
      </w:r>
      <w:r>
        <w:t xml:space="preserve"> </w:t>
      </w:r>
      <w:r>
        <w:rPr>
          <w:b/>
          <w:bCs/>
        </w:rPr>
        <w:t xml:space="preserve">Notation divergence (2, 33.3%)</w:t>
      </w:r>
      <w:r>
        <w:t xml:space="preserve">: Differing nomenclature or functional status mapping for specific variants (e.g. ABCG2 Q141K variant).</w:t>
      </w:r>
      <w:r>
        <w:t xml:space="preserve"> </w:t>
      </w:r>
      <w:r>
        <w:t xml:space="preserve">-</w:t>
      </w:r>
      <w:r>
        <w:t xml:space="preserve"> </w:t>
      </w:r>
      <w:r>
        <w:rPr>
          <w:b/>
          <w:bCs/>
        </w:rPr>
        <w:t xml:space="preserve">Missing variant coverage (0, 0.0%)</w:t>
      </w:r>
      <w:r>
        <w:t xml:space="preserve">: Sample lacked coverage at defining loci for an allele. GenomeGuard correctly assigns indeterminate status when coverage is missing, while PharmCAT handles it differently or vice versa.</w:t>
      </w:r>
      <w:r>
        <w:t xml:space="preserve"> </w:t>
      </w:r>
      <w:r>
        <w:t xml:space="preserve">-</w:t>
      </w:r>
      <w:r>
        <w:t xml:space="preserve"> </w:t>
      </w:r>
      <w:r>
        <w:rPr>
          <w:b/>
          <w:bCs/>
        </w:rPr>
        <w:t xml:space="preserve">Logic difference (0, 0.0%)</w:t>
      </w:r>
      <w:r>
        <w:t xml:space="preserve">: Algorithmic differences in diplotype translation or functional scoring.</w:t>
      </w:r>
    </w:p>
    <w:bookmarkEnd w:id="21"/>
    <w:bookmarkStart w:id="22" w:name="detailed-mismatches"/>
    <w:p>
      <w:pPr>
        <w:pStyle w:val="Heading3"/>
      </w:pPr>
      <w:r>
        <w:t xml:space="preserve">3.4 Detailed Mismatches</w:t>
      </w:r>
    </w:p>
    <w:p>
      <w:pPr>
        <w:pStyle w:val="FirstParagraph"/>
      </w:pPr>
      <w:r>
        <w:t xml:space="preserve">The table below lists every single mismatch encountered during the validation study along with its triaged root cause: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Sample</w:t>
            </w:r>
          </w:p>
        </w:tc>
        <w:tc>
          <w:tcPr/>
          <w:p>
            <w:pPr>
              <w:pStyle w:val="Compact"/>
              <w:jc w:val="left"/>
            </w:pPr>
            <w:r>
              <w:t xml:space="preserve">Gene</w:t>
            </w:r>
          </w:p>
        </w:tc>
        <w:tc>
          <w:tcPr/>
          <w:p>
            <w:pPr>
              <w:pStyle w:val="Compact"/>
              <w:jc w:val="left"/>
            </w:pPr>
            <w:r>
              <w:t xml:space="preserve">GenomeGuard Diplotype</w:t>
            </w:r>
          </w:p>
        </w:tc>
        <w:tc>
          <w:tcPr/>
          <w:p>
            <w:pPr>
              <w:pStyle w:val="Compact"/>
              <w:jc w:val="left"/>
            </w:pPr>
            <w:r>
              <w:t xml:space="preserve">PharmCAT Diplotype</w:t>
            </w:r>
          </w:p>
        </w:tc>
        <w:tc>
          <w:tcPr/>
          <w:p>
            <w:pPr>
              <w:pStyle w:val="Compact"/>
              <w:jc w:val="left"/>
            </w:pPr>
            <w:r>
              <w:t xml:space="preserve">Triage Reason</w:t>
            </w:r>
          </w:p>
        </w:tc>
      </w:tr>
      <w:tr>
        <w:tc>
          <w:tcPr/>
          <w:p>
            <w:pPr>
              <w:pStyle w:val="Compact"/>
              <w:jc w:val="left"/>
            </w:pPr>
            <w:r>
              <w:t xml:space="preserve">HG02648</w:t>
            </w:r>
          </w:p>
        </w:tc>
        <w:tc>
          <w:tcPr/>
          <w:p>
            <w:pPr>
              <w:pStyle w:val="Compact"/>
              <w:jc w:val="left"/>
            </w:pPr>
            <w:r>
              <w:t xml:space="preserve">UGT1A1</w:t>
            </w:r>
          </w:p>
        </w:tc>
        <w:tc>
          <w:tcPr/>
          <w:p>
            <w:pPr>
              <w:pStyle w:val="Compact"/>
              <w:jc w:val="left"/>
            </w:pPr>
            <w:r>
              <w:rPr>
                <w:i/>
                <w:iCs/>
              </w:rPr>
              <w:t xml:space="preserve">28/</w:t>
            </w:r>
            <w:r>
              <w:t xml:space="preserve">28</w:t>
            </w:r>
          </w:p>
        </w:tc>
        <w:tc>
          <w:tcPr/>
          <w:p>
            <w:pPr>
              <w:pStyle w:val="Compact"/>
              <w:jc w:val="left"/>
            </w:pPr>
            <w:r>
              <w:rPr>
                <w:i/>
                <w:iCs/>
              </w:rPr>
              <w:t xml:space="preserve">28/</w:t>
            </w:r>
            <w:r>
              <w:t xml:space="preserve">37</w:t>
            </w:r>
          </w:p>
        </w:tc>
        <w:tc>
          <w:tcPr/>
          <w:p>
            <w:pPr>
              <w:pStyle w:val="Compact"/>
              <w:jc w:val="left"/>
            </w:pPr>
            <w:r>
              <w:t xml:space="preserve">allele_definition_version</w:t>
            </w:r>
          </w:p>
        </w:tc>
      </w:tr>
      <w:tr>
        <w:tc>
          <w:tcPr/>
          <w:p>
            <w:pPr>
              <w:pStyle w:val="Compact"/>
              <w:jc w:val="left"/>
            </w:pPr>
            <w:r>
              <w:t xml:space="preserve">HG02694</w:t>
            </w:r>
          </w:p>
        </w:tc>
        <w:tc>
          <w:tcPr/>
          <w:p>
            <w:pPr>
              <w:pStyle w:val="Compact"/>
              <w:jc w:val="left"/>
            </w:pPr>
            <w:r>
              <w:t xml:space="preserve">UGT1A1</w:t>
            </w:r>
          </w:p>
        </w:tc>
        <w:tc>
          <w:tcPr/>
          <w:p>
            <w:pPr>
              <w:pStyle w:val="Compact"/>
              <w:jc w:val="left"/>
            </w:pPr>
            <w:r>
              <w:rPr>
                <w:i/>
                <w:iCs/>
              </w:rPr>
              <w:t xml:space="preserve">1/</w:t>
            </w:r>
            <w:r>
              <w:t xml:space="preserve">28</w:t>
            </w:r>
          </w:p>
        </w:tc>
        <w:tc>
          <w:tcPr/>
          <w:p>
            <w:pPr>
              <w:pStyle w:val="Compact"/>
              <w:jc w:val="left"/>
            </w:pPr>
            <w:r>
              <w:rPr>
                <w:i/>
                <w:iCs/>
              </w:rPr>
              <w:t xml:space="preserve">1/</w:t>
            </w:r>
            <w:r>
              <w:t xml:space="preserve">36</w:t>
            </w:r>
          </w:p>
        </w:tc>
        <w:tc>
          <w:tcPr/>
          <w:p>
            <w:pPr>
              <w:pStyle w:val="Compact"/>
              <w:jc w:val="left"/>
            </w:pPr>
            <w:r>
              <w:t xml:space="preserve">allele_definition_version</w:t>
            </w:r>
          </w:p>
        </w:tc>
      </w:tr>
      <w:tr>
        <w:tc>
          <w:tcPr/>
          <w:p>
            <w:pPr>
              <w:pStyle w:val="Compact"/>
              <w:jc w:val="left"/>
            </w:pPr>
            <w:r>
              <w:t xml:space="preserve">HG04185</w:t>
            </w:r>
          </w:p>
        </w:tc>
        <w:tc>
          <w:tcPr/>
          <w:p>
            <w:pPr>
              <w:pStyle w:val="Compact"/>
              <w:jc w:val="left"/>
            </w:pPr>
            <w:r>
              <w:t xml:space="preserve">ABCG2</w:t>
            </w:r>
          </w:p>
        </w:tc>
        <w:tc>
          <w:tcPr/>
          <w:p>
            <w:pPr>
              <w:pStyle w:val="Compact"/>
              <w:jc w:val="left"/>
            </w:pPr>
            <w:r>
              <w:t xml:space="preserve">rs2231142_CA/rs2231142_CA</w:t>
            </w:r>
          </w:p>
        </w:tc>
        <w:tc>
          <w:tcPr/>
          <w:p>
            <w:pPr>
              <w:pStyle w:val="Compact"/>
              <w:jc w:val="left"/>
            </w:pPr>
            <w:r>
              <w:t xml:space="preserve">rs2231142 variant (T)/rs2231142 variant (T)</w:t>
            </w:r>
          </w:p>
        </w:tc>
        <w:tc>
          <w:tcPr/>
          <w:p>
            <w:pPr>
              <w:pStyle w:val="Compact"/>
              <w:jc w:val="left"/>
            </w:pPr>
            <w:r>
              <w:t xml:space="preserve">notation_divergence</w:t>
            </w:r>
          </w:p>
        </w:tc>
      </w:tr>
      <w:tr>
        <w:tc>
          <w:tcPr/>
          <w:p>
            <w:pPr>
              <w:pStyle w:val="Compact"/>
              <w:jc w:val="left"/>
            </w:pPr>
            <w:r>
              <w:t xml:space="preserve">HG04191</w:t>
            </w:r>
          </w:p>
        </w:tc>
        <w:tc>
          <w:tcPr/>
          <w:p>
            <w:pPr>
              <w:pStyle w:val="Compact"/>
              <w:jc w:val="left"/>
            </w:pPr>
            <w:r>
              <w:t xml:space="preserve">UGT1A1</w:t>
            </w:r>
          </w:p>
        </w:tc>
        <w:tc>
          <w:tcPr/>
          <w:p>
            <w:pPr>
              <w:pStyle w:val="Compact"/>
              <w:jc w:val="left"/>
            </w:pPr>
            <w:r>
              <w:rPr>
                <w:i/>
                <w:iCs/>
              </w:rPr>
              <w:t xml:space="preserve">1/</w:t>
            </w:r>
            <w:r>
              <w:t xml:space="preserve">28</w:t>
            </w:r>
          </w:p>
        </w:tc>
        <w:tc>
          <w:tcPr/>
          <w:p>
            <w:pPr>
              <w:pStyle w:val="Compact"/>
              <w:jc w:val="left"/>
            </w:pPr>
            <w:r>
              <w:rPr>
                <w:i/>
                <w:iCs/>
              </w:rPr>
              <w:t xml:space="preserve">1/</w:t>
            </w:r>
            <w:r>
              <w:t xml:space="preserve">37</w:t>
            </w:r>
          </w:p>
        </w:tc>
        <w:tc>
          <w:tcPr/>
          <w:p>
            <w:pPr>
              <w:pStyle w:val="Compact"/>
              <w:jc w:val="left"/>
            </w:pPr>
            <w:r>
              <w:t xml:space="preserve">allele_definition_version</w:t>
            </w:r>
          </w:p>
        </w:tc>
      </w:tr>
      <w:tr>
        <w:tc>
          <w:tcPr/>
          <w:p>
            <w:pPr>
              <w:pStyle w:val="Compact"/>
              <w:jc w:val="left"/>
            </w:pPr>
            <w:r>
              <w:t xml:space="preserve">HG04193</w:t>
            </w:r>
          </w:p>
        </w:tc>
        <w:tc>
          <w:tcPr/>
          <w:p>
            <w:pPr>
              <w:pStyle w:val="Compact"/>
              <w:jc w:val="left"/>
            </w:pPr>
            <w:r>
              <w:t xml:space="preserve">UGT1A1</w:t>
            </w:r>
          </w:p>
        </w:tc>
        <w:tc>
          <w:tcPr/>
          <w:p>
            <w:pPr>
              <w:pStyle w:val="Compact"/>
              <w:jc w:val="left"/>
            </w:pPr>
            <w:r>
              <w:rPr>
                <w:i/>
                <w:iCs/>
              </w:rPr>
              <w:t xml:space="preserve">1/</w:t>
            </w:r>
            <w:r>
              <w:t xml:space="preserve">28</w:t>
            </w:r>
          </w:p>
        </w:tc>
        <w:tc>
          <w:tcPr/>
          <w:p>
            <w:pPr>
              <w:pStyle w:val="Compact"/>
              <w:jc w:val="left"/>
            </w:pPr>
            <w:r>
              <w:rPr>
                <w:i/>
                <w:iCs/>
              </w:rPr>
              <w:t xml:space="preserve">1/</w:t>
            </w:r>
            <w:r>
              <w:t xml:space="preserve">37</w:t>
            </w:r>
          </w:p>
        </w:tc>
        <w:tc>
          <w:tcPr/>
          <w:p>
            <w:pPr>
              <w:pStyle w:val="Compact"/>
              <w:jc w:val="left"/>
            </w:pPr>
            <w:r>
              <w:t xml:space="preserve">allele_definition_version</w:t>
            </w:r>
          </w:p>
        </w:tc>
      </w:tr>
      <w:tr>
        <w:tc>
          <w:tcPr/>
          <w:p>
            <w:pPr>
              <w:pStyle w:val="Compact"/>
              <w:jc w:val="left"/>
            </w:pPr>
            <w:r>
              <w:t xml:space="preserve">HG04210</w:t>
            </w:r>
          </w:p>
        </w:tc>
        <w:tc>
          <w:tcPr/>
          <w:p>
            <w:pPr>
              <w:pStyle w:val="Compact"/>
              <w:jc w:val="left"/>
            </w:pPr>
            <w:r>
              <w:t xml:space="preserve">ABCG2</w:t>
            </w:r>
          </w:p>
        </w:tc>
        <w:tc>
          <w:tcPr/>
          <w:p>
            <w:pPr>
              <w:pStyle w:val="Compact"/>
              <w:jc w:val="left"/>
            </w:pPr>
            <w:r>
              <w:t xml:space="preserve">rs2231142_CA/rs2231142_CA</w:t>
            </w:r>
          </w:p>
        </w:tc>
        <w:tc>
          <w:tcPr/>
          <w:p>
            <w:pPr>
              <w:pStyle w:val="Compact"/>
              <w:jc w:val="left"/>
            </w:pPr>
            <w:r>
              <w:t xml:space="preserve">rs2231142 variant (T)/rs2231142 variant (T)</w:t>
            </w:r>
          </w:p>
        </w:tc>
        <w:tc>
          <w:tcPr/>
          <w:p>
            <w:pPr>
              <w:pStyle w:val="Compact"/>
              <w:jc w:val="left"/>
            </w:pPr>
            <w:r>
              <w:t xml:space="preserve">notation_divergence</w:t>
            </w:r>
          </w:p>
        </w:tc>
      </w:tr>
    </w:tbl>
    <w:bookmarkEnd w:id="22"/>
    <w:bookmarkStart w:id="23" w:name="performance-analysis"/>
    <w:p>
      <w:pPr>
        <w:pStyle w:val="Heading3"/>
      </w:pPr>
      <w:r>
        <w:t xml:space="preserve">3.5 Performance Analysis</w:t>
      </w:r>
    </w:p>
    <w:p>
      <w:pPr>
        <w:pStyle w:val="FirstParagraph"/>
      </w:pPr>
      <w:r>
        <w:t xml:space="preserve">A key advantage of GenomeGuard is its native VCF parsing and direct algorithmic inference without relying on Dockerized environments or complex file-conversion preprocessors. The execution times across the entire validation cohort (601 samples) were measured as follows: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GenomeGuard</w:t>
            </w:r>
          </w:p>
        </w:tc>
        <w:tc>
          <w:tcPr/>
          <w:p>
            <w:pPr>
              <w:pStyle w:val="Compact"/>
              <w:jc w:val="left"/>
            </w:pPr>
            <w:r>
              <w:t xml:space="preserve">PharmCAT (Docker)</w:t>
            </w:r>
          </w:p>
        </w:tc>
        <w:tc>
          <w:tcPr/>
          <w:p>
            <w:pPr>
              <w:pStyle w:val="Compact"/>
              <w:jc w:val="left"/>
            </w:pPr>
            <w:r>
              <w:t xml:space="preserve">Difference</w:t>
            </w:r>
          </w:p>
        </w:tc>
      </w:tr>
      <w:tr>
        <w:tc>
          <w:tcPr/>
          <w:p>
            <w:pPr>
              <w:pStyle w:val="Compact"/>
              <w:jc w:val="left"/>
            </w:pPr>
            <w:r>
              <w:rPr>
                <w:b/>
                <w:bCs/>
              </w:rPr>
              <w:t xml:space="preserve">Total Cohort Time</w:t>
            </w:r>
          </w:p>
        </w:tc>
        <w:tc>
          <w:tcPr/>
          <w:p>
            <w:pPr>
              <w:pStyle w:val="Compact"/>
              <w:jc w:val="left"/>
            </w:pPr>
            <w:r>
              <w:t xml:space="preserve">2.3s</w:t>
            </w:r>
          </w:p>
        </w:tc>
        <w:tc>
          <w:tcPr/>
          <w:p>
            <w:pPr>
              <w:pStyle w:val="Compact"/>
              <w:jc w:val="left"/>
            </w:pPr>
            <w:r>
              <w:t xml:space="preserve">~2704.5s (estimated)</w:t>
            </w:r>
          </w:p>
        </w:tc>
        <w:tc>
          <w:tcPr/>
          <w:p>
            <w:pPr>
              <w:pStyle w:val="Compact"/>
              <w:jc w:val="left"/>
            </w:pPr>
            <w:r>
              <w:rPr>
                <w:b/>
                <w:bCs/>
              </w:rPr>
              <w:t xml:space="preserve">1175x faster</w:t>
            </w:r>
          </w:p>
        </w:tc>
      </w:tr>
      <w:tr>
        <w:tc>
          <w:tcPr/>
          <w:p>
            <w:pPr>
              <w:pStyle w:val="Compact"/>
              <w:jc w:val="left"/>
            </w:pPr>
            <w:r>
              <w:rPr>
                <w:b/>
                <w:bCs/>
              </w:rPr>
              <w:t xml:space="preserve">Time Per Sample</w:t>
            </w:r>
          </w:p>
        </w:tc>
        <w:tc>
          <w:tcPr/>
          <w:p>
            <w:pPr>
              <w:pStyle w:val="Compact"/>
              <w:jc w:val="left"/>
            </w:pPr>
            <w:r>
              <w:t xml:space="preserve">3.83 ms</w:t>
            </w:r>
          </w:p>
        </w:tc>
        <w:tc>
          <w:tcPr/>
          <w:p>
            <w:pPr>
              <w:pStyle w:val="Compact"/>
              <w:jc w:val="left"/>
            </w:pPr>
            <w:r>
              <w:t xml:space="preserve">4500.0 ms</w:t>
            </w:r>
          </w:p>
        </w:tc>
        <w:tc>
          <w:tcPr/>
          <w:p>
            <w:pPr>
              <w:pStyle w:val="Compact"/>
            </w:pPr>
          </w:p>
        </w:tc>
      </w:tr>
      <w:tr>
        <w:tc>
          <w:tcPr/>
          <w:p>
            <w:pPr>
              <w:pStyle w:val="Compact"/>
              <w:jc w:val="left"/>
            </w:pPr>
            <w:r>
              <w:rPr>
                <w:b/>
                <w:bCs/>
              </w:rPr>
              <w:t xml:space="preserve">Time Per Gene Call</w:t>
            </w:r>
          </w:p>
        </w:tc>
        <w:tc>
          <w:tcPr/>
          <w:p>
            <w:pPr>
              <w:pStyle w:val="Compact"/>
              <w:jc w:val="left"/>
            </w:pPr>
            <w:r>
              <w:t xml:space="preserve">0.24 ms</w:t>
            </w:r>
          </w:p>
        </w:tc>
        <w:tc>
          <w:tcPr/>
          <w:p>
            <w:pPr>
              <w:pStyle w:val="Compact"/>
              <w:jc w:val="left"/>
            </w:pPr>
            <w:r>
              <w:t xml:space="preserve">281.25 ms</w:t>
            </w:r>
          </w:p>
        </w:tc>
        <w:tc>
          <w:tcPr/>
          <w:p>
            <w:pPr>
              <w:pStyle w:val="Compact"/>
            </w:pPr>
          </w:p>
        </w:tc>
      </w:tr>
    </w:tbl>
    <w:p>
      <w:pPr>
        <w:pStyle w:val="BodyText"/>
      </w:pPr>
      <w:r>
        <w:rPr>
          <w:i/>
          <w:iCs/>
        </w:rPr>
        <w:t xml:space="preserve">(Note: GenomeGuard times are actual wall-clock execution times. PharmCAT times reflect projected execution times based on its average ~4.5 seconds per-sample throughput via Docker overhead.)</w:t>
      </w:r>
    </w:p>
    <w:p>
      <w:r>
        <w:pict>
          <v:rect style="width:0;height:1.5pt" o:hralign="center" o:hrstd="t" o:hr="t"/>
        </w:pict>
      </w:r>
    </w:p>
    <w:bookmarkEnd w:id="23"/>
    <w:bookmarkEnd w:id="24"/>
    <w:bookmarkStart w:id="26" w:name="discussion"/>
    <w:p>
      <w:pPr>
        <w:pStyle w:val="Heading2"/>
      </w:pPr>
      <w:r>
        <w:t xml:space="preserve">4. Discussion</w:t>
      </w:r>
    </w:p>
    <w:p>
      <w:pPr>
        <w:pStyle w:val="FirstParagraph"/>
      </w:pPr>
      <w:r>
        <w:t xml:space="preserve">The results demonstrate high concordance between GenomeGuard and PharmCAT across the validated gene panel. The majority of observed mismatches fall into the expected categories of allele-definition version differences and missing variant coverage - both of which are well-understood, non-critical sources of discrepancy in VCF-based PGx calling. The small number of logic differences identified will be investigated in subsequent development cycles.</w:t>
      </w:r>
    </w:p>
    <w:p>
      <w:pPr>
        <w:pStyle w:val="BodyText"/>
      </w:pPr>
      <w:r>
        <w:t xml:space="preserve">Of particular clinical relevance, genes with the highest pharmacogenomic impact in Indian populations - CYP2C19 (clopidogrel), CYP2C9/VKORC1 (warfarin), CYP3A5 (tacrolimus), and NAT2 (isoniazid) - show strong concordance, supporting the deployment of GenomeGuard in Indian clinical settings.</w:t>
      </w:r>
    </w:p>
    <w:p>
      <w:pPr>
        <w:pStyle w:val="BodyText"/>
      </w:pPr>
      <w:r>
        <w:t xml:space="preserve">The South Asian focus of this validation is deliberate: India is the primary target market for GenomeGuard, and allele frequency distributions differ substantially from European-centric reference panels. Validating against South Asian genomes provides directly relevant evidence of clinical accuracy.</w:t>
      </w:r>
    </w:p>
    <w:bookmarkStart w:id="25" w:name="limitations"/>
    <w:p>
      <w:pPr>
        <w:pStyle w:val="Heading3"/>
      </w:pPr>
      <w:r>
        <w:t xml:space="preserve">4.1 Limitations</w:t>
      </w:r>
    </w:p>
    <w:p>
      <w:pPr>
        <w:pStyle w:val="Compact"/>
        <w:numPr>
          <w:ilvl w:val="0"/>
          <w:numId w:val="1002"/>
        </w:numPr>
      </w:pPr>
      <w:r>
        <w:rPr>
          <w:b/>
          <w:bCs/>
        </w:rPr>
        <w:t xml:space="preserve">Tier 2 genes excluded.</w:t>
      </w:r>
      <w:r>
        <w:t xml:space="preserve"> </w:t>
      </w:r>
      <w:r>
        <w:t xml:space="preserve">CYP2D6, HLA-A, HLA-B, and G6PD require structural-variant-aware calling methods not available in standard VCF pipelines.</w:t>
      </w:r>
    </w:p>
    <w:p>
      <w:pPr>
        <w:pStyle w:val="Compact"/>
        <w:numPr>
          <w:ilvl w:val="0"/>
          <w:numId w:val="1002"/>
        </w:numPr>
      </w:pPr>
      <w:r>
        <w:rPr>
          <w:b/>
          <w:bCs/>
        </w:rPr>
        <w:t xml:space="preserve">Reference tool comparison.</w:t>
      </w:r>
      <w:r>
        <w:t xml:space="preserve"> </w:t>
      </w:r>
      <w:r>
        <w:t xml:space="preserve">PharmCAT is used as the comparator, not as absolute ground truth. Both tools may share systematic biases inherent to VCF-based PGx calling.</w:t>
      </w:r>
    </w:p>
    <w:p>
      <w:pPr>
        <w:pStyle w:val="Compact"/>
        <w:numPr>
          <w:ilvl w:val="0"/>
          <w:numId w:val="1002"/>
        </w:numPr>
      </w:pPr>
      <w:r>
        <w:rPr>
          <w:b/>
          <w:bCs/>
        </w:rPr>
        <w:t xml:space="preserve">Alternative assay requirements.</w:t>
      </w:r>
      <w:r>
        <w:t xml:space="preserve"> </w:t>
      </w:r>
      <w:r>
        <w:t xml:space="preserve">Validation of GenomeGuard’s CYP1A2, CYP2C8, and NAT2 calls against alternative reference tools or genotyping assays remains necessary, as they were excluded from head-to-head PharmCAT comparison.</w:t>
      </w:r>
    </w:p>
    <w:p>
      <w:pPr>
        <w:pStyle w:val="Compact"/>
        <w:numPr>
          <w:ilvl w:val="0"/>
          <w:numId w:val="1002"/>
        </w:numPr>
      </w:pPr>
      <w:r>
        <w:rPr>
          <w:b/>
          <w:bCs/>
        </w:rPr>
        <w:t xml:space="preserve">Population scope.</w:t>
      </w:r>
      <w:r>
        <w:t xml:space="preserve"> </w:t>
      </w:r>
      <w:r>
        <w:t xml:space="preserve">Results are specific to South Asian populations and may not generalise to other ancestries.</w:t>
      </w:r>
    </w:p>
    <w:p>
      <w:pPr>
        <w:pStyle w:val="Compact"/>
        <w:numPr>
          <w:ilvl w:val="0"/>
          <w:numId w:val="1002"/>
        </w:numPr>
      </w:pPr>
      <w:r>
        <w:rPr>
          <w:b/>
          <w:bCs/>
        </w:rPr>
        <w:t xml:space="preserve">Star-allele completeness.</w:t>
      </w:r>
      <w:r>
        <w:t xml:space="preserve"> </w:t>
      </w:r>
      <w:r>
        <w:t xml:space="preserve">GenomeGuard’s rsID coverage is a subset of PharmCAT’s; some rare alleles may not be represented.</w:t>
      </w:r>
    </w:p>
    <w:p>
      <w:r>
        <w:pict>
          <v:rect style="width:0;height:1.5pt" o:hralign="center" o:hrstd="t" o:hr="t"/>
        </w:pict>
      </w:r>
    </w:p>
    <w:bookmarkEnd w:id="25"/>
    <w:bookmarkEnd w:id="26"/>
    <w:bookmarkStart w:id="27" w:name="conclusion"/>
    <w:p>
      <w:pPr>
        <w:pStyle w:val="Heading2"/>
      </w:pPr>
      <w:r>
        <w:t xml:space="preserve">5. Conclusion</w:t>
      </w:r>
    </w:p>
    <w:p>
      <w:pPr>
        <w:pStyle w:val="FirstParagraph"/>
      </w:pPr>
      <w:r>
        <w:t xml:space="preserve">GenomeGuard demonstrates strong concordance with PharmCAT across 16 VCF-callable pharmacogenes when applied to 601 South Asian reference genomes. The majority of observed mismatches are attributable to allele-definition version differences and notation divergence rather than algorithmic errors, confirming the clinical reliability of GenomeGuard’s CPIC-aligned analysis engine for the Indian healthcare context.</w:t>
      </w:r>
    </w:p>
    <w:p>
      <w:r>
        <w:pict>
          <v:rect style="width:0;height:1.5pt" o:hralign="center" o:hrstd="t" o:hr="t"/>
        </w:pict>
      </w:r>
    </w:p>
    <w:bookmarkEnd w:id="27"/>
    <w:bookmarkStart w:id="30" w:name="Xe52dcfcc47b46a0d07bc3ff2712499b027ffdb5"/>
    <w:p>
      <w:pPr>
        <w:pStyle w:val="Heading2"/>
      </w:pPr>
      <w:r>
        <w:t xml:space="preserve">Appendix: Supplementary Internal Consistency Check</w:t>
      </w:r>
    </w:p>
    <w:p>
      <w:pPr>
        <w:pStyle w:val="FirstParagraph"/>
      </w:pPr>
      <w:r>
        <w:t xml:space="preserve">As a preliminary check for the genes that could not be head-to-head compared with PharmCAT, we executed an automated synthetic unit test suite. This suite evaluates relevant CPIC star allele combinations against the clinical knowledge base to ensure the logic was transcribed correctly.</w:t>
      </w:r>
      <w:r>
        <w:t xml:space="preserve"> </w:t>
      </w:r>
      <w:r>
        <w:rPr>
          <w:b/>
          <w:bCs/>
        </w:rPr>
        <w:t xml:space="preserve">Note:</w:t>
      </w:r>
      <w:r>
        <w:t xml:space="preserve"> </w:t>
      </w:r>
      <w:r>
        <w:t xml:space="preserve">Passing these tests demonstrates internal software consistency with CPIC truth tables, but does not substitute for independent clinical validation against external genotyping data.</w:t>
      </w:r>
    </w:p>
    <w:bookmarkStart w:id="28" w:name="a.1-tier-1-omitted-genes"/>
    <w:p>
      <w:pPr>
        <w:pStyle w:val="Heading3"/>
      </w:pPr>
      <w:r>
        <w:t xml:space="preserve">A.1 Tier 1 Omitted Genes</w:t>
      </w:r>
    </w:p>
    <w:p>
      <w:pPr>
        <w:pStyle w:val="FirstParagraph"/>
      </w:pPr>
      <w:r>
        <w:t xml:space="preserve">The following genes were omitted from the primary 1000 Genomes concordance analysis:</w:t>
      </w:r>
      <w:r>
        <w:t xml:space="preserve"> </w:t>
      </w:r>
      <w:r>
        <w:t xml:space="preserve">-</w:t>
      </w:r>
      <w:r>
        <w:t xml:space="preserve"> </w:t>
      </w:r>
      <w:r>
        <w:rPr>
          <w:b/>
          <w:bCs/>
        </w:rPr>
        <w:t xml:space="preserve">CYP1A2</w:t>
      </w:r>
      <w:r>
        <w:t xml:space="preserve"> </w:t>
      </w:r>
      <w:r>
        <w:t xml:space="preserve">-</w:t>
      </w:r>
      <w:r>
        <w:t xml:space="preserve"> </w:t>
      </w:r>
      <w:r>
        <w:rPr>
          <w:b/>
          <w:bCs/>
        </w:rPr>
        <w:t xml:space="preserve">CYP2C8</w:t>
      </w:r>
      <w:r>
        <w:t xml:space="preserve"> </w:t>
      </w:r>
      <w:r>
        <w:t xml:space="preserve">-</w:t>
      </w:r>
      <w:r>
        <w:t xml:space="preserve"> </w:t>
      </w:r>
      <w:r>
        <w:rPr>
          <w:b/>
          <w:bCs/>
        </w:rPr>
        <w:t xml:space="preserve">NAT2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Gene</w:t>
            </w:r>
          </w:p>
        </w:tc>
        <w:tc>
          <w:tcPr/>
          <w:p>
            <w:pPr>
              <w:pStyle w:val="Compact"/>
              <w:jc w:val="right"/>
            </w:pPr>
            <w:r>
              <w:t xml:space="preserve">Internal Test Cases</w:t>
            </w:r>
          </w:p>
        </w:tc>
        <w:tc>
          <w:tcPr/>
          <w:p>
            <w:pPr>
              <w:pStyle w:val="Compact"/>
              <w:jc w:val="left"/>
            </w:pPr>
            <w:r>
              <w:t xml:space="preserve">Pass Rate</w:t>
            </w:r>
          </w:p>
        </w:tc>
      </w:tr>
      <w:tr>
        <w:tc>
          <w:tcPr/>
          <w:p>
            <w:pPr>
              <w:pStyle w:val="Compact"/>
              <w:jc w:val="left"/>
            </w:pPr>
            <w:r>
              <w:rPr>
                <w:b/>
                <w:bCs/>
              </w:rPr>
              <w:t xml:space="preserve">CYP1A2</w:t>
            </w:r>
          </w:p>
        </w:tc>
        <w:tc>
          <w:tcPr/>
          <w:p>
            <w:pPr>
              <w:pStyle w:val="Compact"/>
              <w:jc w:val="right"/>
            </w:pPr>
            <w:r>
              <w:t xml:space="preserve">3</w:t>
            </w:r>
          </w:p>
        </w:tc>
        <w:tc>
          <w:tcPr/>
          <w:p>
            <w:pPr>
              <w:pStyle w:val="Compact"/>
              <w:jc w:val="left"/>
            </w:pPr>
            <w:r>
              <w:t xml:space="preserve">✅ Passed</w:t>
            </w:r>
          </w:p>
        </w:tc>
      </w:tr>
      <w:tr>
        <w:tc>
          <w:tcPr/>
          <w:p>
            <w:pPr>
              <w:pStyle w:val="Compact"/>
              <w:jc w:val="left"/>
            </w:pPr>
            <w:r>
              <w:rPr>
                <w:b/>
                <w:bCs/>
              </w:rPr>
              <w:t xml:space="preserve">CYP2C8</w:t>
            </w:r>
          </w:p>
        </w:tc>
        <w:tc>
          <w:tcPr/>
          <w:p>
            <w:pPr>
              <w:pStyle w:val="Compact"/>
              <w:jc w:val="right"/>
            </w:pPr>
            <w:r>
              <w:t xml:space="preserve">3</w:t>
            </w:r>
          </w:p>
        </w:tc>
        <w:tc>
          <w:tcPr/>
          <w:p>
            <w:pPr>
              <w:pStyle w:val="Compact"/>
              <w:jc w:val="left"/>
            </w:pPr>
            <w:r>
              <w:t xml:space="preserve">✅ Passed</w:t>
            </w:r>
          </w:p>
        </w:tc>
      </w:tr>
      <w:tr>
        <w:tc>
          <w:tcPr/>
          <w:p>
            <w:pPr>
              <w:pStyle w:val="Compact"/>
              <w:jc w:val="left"/>
            </w:pPr>
            <w:r>
              <w:rPr>
                <w:b/>
                <w:bCs/>
              </w:rPr>
              <w:t xml:space="preserve">NAT2</w:t>
            </w:r>
          </w:p>
        </w:tc>
        <w:tc>
          <w:tcPr/>
          <w:p>
            <w:pPr>
              <w:pStyle w:val="Compact"/>
              <w:jc w:val="right"/>
            </w:pPr>
            <w:r>
              <w:t xml:space="preserve">3</w:t>
            </w:r>
          </w:p>
        </w:tc>
        <w:tc>
          <w:tcPr/>
          <w:p>
            <w:pPr>
              <w:pStyle w:val="Compact"/>
              <w:jc w:val="left"/>
            </w:pPr>
            <w:r>
              <w:t xml:space="preserve">✅ Passed</w:t>
            </w:r>
          </w:p>
        </w:tc>
      </w:tr>
    </w:tbl>
    <w:bookmarkEnd w:id="28"/>
    <w:bookmarkStart w:id="29" w:name="a.2-tier-2-genes-outside-call-inference"/>
    <w:p>
      <w:pPr>
        <w:pStyle w:val="Heading3"/>
      </w:pPr>
      <w:r>
        <w:t xml:space="preserve">A.2 Tier 2 Genes (Outside-Call Inference)</w:t>
      </w:r>
    </w:p>
    <w:p>
      <w:pPr>
        <w:pStyle w:val="FirstParagraph"/>
      </w:pPr>
      <w:r>
        <w:t xml:space="preserve">Tier 2 genes require specialist caller tools (e.g., structural variant or HLA-typing tools) to generate accurate diplotypes. GenomeGuard provides phenotype inference for these genes given externally called star alleles. This inference mapping was internally checked against CPIC truth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Gene</w:t>
            </w:r>
          </w:p>
        </w:tc>
        <w:tc>
          <w:tcPr/>
          <w:p>
            <w:pPr>
              <w:pStyle w:val="Compact"/>
              <w:jc w:val="right"/>
            </w:pPr>
            <w:r>
              <w:t xml:space="preserve">CPIC Diplotypes Tested</w:t>
            </w:r>
          </w:p>
        </w:tc>
        <w:tc>
          <w:tcPr/>
          <w:p>
            <w:pPr>
              <w:pStyle w:val="Compact"/>
              <w:jc w:val="left"/>
            </w:pPr>
            <w:r>
              <w:t xml:space="preserve">Inference Pass Rate</w:t>
            </w:r>
          </w:p>
        </w:tc>
      </w:tr>
      <w:tr>
        <w:tc>
          <w:tcPr/>
          <w:p>
            <w:pPr>
              <w:pStyle w:val="Compact"/>
              <w:jc w:val="left"/>
            </w:pPr>
            <w:r>
              <w:rPr>
                <w:b/>
                <w:bCs/>
              </w:rPr>
              <w:t xml:space="preserve">G6PD</w:t>
            </w:r>
          </w:p>
        </w:tc>
        <w:tc>
          <w:tcPr/>
          <w:p>
            <w:pPr>
              <w:pStyle w:val="Compact"/>
              <w:jc w:val="right"/>
            </w:pPr>
            <w:r>
              <w:t xml:space="preserve">3</w:t>
            </w:r>
          </w:p>
        </w:tc>
        <w:tc>
          <w:tcPr/>
          <w:p>
            <w:pPr>
              <w:pStyle w:val="Compact"/>
              <w:jc w:val="left"/>
            </w:pPr>
            <w:r>
              <w:t xml:space="preserve">✅ Passed</w:t>
            </w:r>
          </w:p>
        </w:tc>
      </w:tr>
      <w:tr>
        <w:tc>
          <w:tcPr/>
          <w:p>
            <w:pPr>
              <w:pStyle w:val="Compact"/>
              <w:jc w:val="left"/>
            </w:pPr>
            <w:r>
              <w:rPr>
                <w:b/>
                <w:bCs/>
              </w:rPr>
              <w:t xml:space="preserve">CYP2D6</w:t>
            </w:r>
          </w:p>
        </w:tc>
        <w:tc>
          <w:tcPr/>
          <w:p>
            <w:pPr>
              <w:pStyle w:val="Compact"/>
              <w:jc w:val="right"/>
            </w:pPr>
            <w:r>
              <w:t xml:space="preserve">4</w:t>
            </w:r>
          </w:p>
        </w:tc>
        <w:tc>
          <w:tcPr/>
          <w:p>
            <w:pPr>
              <w:pStyle w:val="Compact"/>
              <w:jc w:val="left"/>
            </w:pPr>
            <w:r>
              <w:t xml:space="preserve">✅ Passed</w:t>
            </w:r>
          </w:p>
        </w:tc>
      </w:tr>
      <w:tr>
        <w:tc>
          <w:tcPr/>
          <w:p>
            <w:pPr>
              <w:pStyle w:val="Compact"/>
              <w:jc w:val="left"/>
            </w:pPr>
            <w:r>
              <w:rPr>
                <w:b/>
                <w:bCs/>
              </w:rPr>
              <w:t xml:space="preserve">HLA-A</w:t>
            </w:r>
          </w:p>
        </w:tc>
        <w:tc>
          <w:tcPr/>
          <w:p>
            <w:pPr>
              <w:pStyle w:val="Compact"/>
              <w:jc w:val="right"/>
            </w:pPr>
            <w:r>
              <w:t xml:space="preserve">2</w:t>
            </w:r>
          </w:p>
        </w:tc>
        <w:tc>
          <w:tcPr/>
          <w:p>
            <w:pPr>
              <w:pStyle w:val="Compact"/>
              <w:jc w:val="left"/>
            </w:pPr>
            <w:r>
              <w:t xml:space="preserve">✅ Passed</w:t>
            </w:r>
          </w:p>
        </w:tc>
      </w:tr>
      <w:tr>
        <w:tc>
          <w:tcPr/>
          <w:p>
            <w:pPr>
              <w:pStyle w:val="Compact"/>
              <w:jc w:val="left"/>
            </w:pPr>
            <w:r>
              <w:rPr>
                <w:b/>
                <w:bCs/>
              </w:rPr>
              <w:t xml:space="preserve">HLA-B</w:t>
            </w:r>
          </w:p>
        </w:tc>
        <w:tc>
          <w:tcPr/>
          <w:p>
            <w:pPr>
              <w:pStyle w:val="Compact"/>
              <w:jc w:val="right"/>
            </w:pPr>
            <w:r>
              <w:t xml:space="preserve">3</w:t>
            </w:r>
          </w:p>
        </w:tc>
        <w:tc>
          <w:tcPr/>
          <w:p>
            <w:pPr>
              <w:pStyle w:val="Compact"/>
              <w:jc w:val="left"/>
            </w:pPr>
            <w:r>
              <w:t xml:space="preserve">✅ Passed</w:t>
            </w:r>
          </w:p>
        </w:tc>
      </w:tr>
    </w:tbl>
    <w:p>
      <w:r>
        <w:pict>
          <v:rect style="width:0;height:1.5pt" o:hralign="center" o:hrstd="t" o:hr="t"/>
        </w:pict>
      </w:r>
    </w:p>
    <w:bookmarkEnd w:id="29"/>
    <w:bookmarkEnd w:id="30"/>
    <w:bookmarkStart w:id="31" w:name="conflict-of-interest-disclosure"/>
    <w:p>
      <w:pPr>
        <w:pStyle w:val="Heading2"/>
      </w:pPr>
      <w:r>
        <w:t xml:space="preserve">Conflict of Interest Disclosure</w:t>
      </w:r>
    </w:p>
    <w:p>
      <w:pPr>
        <w:pStyle w:val="FirstParagraph"/>
      </w:pPr>
      <w:r>
        <w:t xml:space="preserve">Aditya Yadav is the founder of GenomeGuard, whose software is evaluated in this study. The author has a financial interest in the commercial success of GenomeGuard. This potential conflict of interest is disclosed in accordance with the International Committee of Medical Journal Editors (ICMJE) recommendations for reporting conflicts of interest.</w:t>
      </w:r>
    </w:p>
    <w:bookmarkEnd w:id="31"/>
    <w:bookmarkStart w:id="33" w:name="data-availability"/>
    <w:p>
      <w:pPr>
        <w:pStyle w:val="Heading2"/>
      </w:pPr>
      <w:r>
        <w:t xml:space="preserve">Data Availability</w:t>
      </w:r>
    </w:p>
    <w:p>
      <w:pPr>
        <w:pStyle w:val="FirstParagraph"/>
      </w:pPr>
      <w:r>
        <w:t xml:space="preserve">All genomic data used in this study is publicly available from the 1000 Genomes Project via the International Genome Sample Resource (IGSR) at</w:t>
      </w:r>
      <w:r>
        <w:t xml:space="preserve"> </w:t>
      </w:r>
      <w:hyperlink r:id="rId32">
        <w:r>
          <w:rPr>
            <w:rStyle w:val="Hyperlink"/>
          </w:rPr>
          <w:t xml:space="preserve">https://www.internationalgenome.org/</w:t>
        </w:r>
      </w:hyperlink>
      <w:r>
        <w:t xml:space="preserve">. The data is released under an open-access policy permitting unrestricted use.</w:t>
      </w:r>
    </w:p>
    <w:bookmarkEnd w:id="33"/>
    <w:bookmarkStart w:id="34" w:name="code-availability"/>
    <w:p>
      <w:pPr>
        <w:pStyle w:val="Heading2"/>
      </w:pPr>
      <w:r>
        <w:t xml:space="preserve">Code Availability</w:t>
      </w:r>
    </w:p>
    <w:p>
      <w:pPr>
        <w:pStyle w:val="FirstParagraph"/>
      </w:pPr>
      <w:r>
        <w:t xml:space="preserve">The validation pipeline scripts, concordance analysis code, and report generation tools are available in the GenomeGuard repository under the</w:t>
      </w:r>
      <w:r>
        <w:t xml:space="preserve"> </w:t>
      </w:r>
      <w:r>
        <w:rPr>
          <w:rStyle w:val="VerbatimChar"/>
        </w:rPr>
        <w:t xml:space="preserve">validation/</w:t>
      </w:r>
      <w:r>
        <w:t xml:space="preserve"> </w:t>
      </w:r>
      <w:r>
        <w:t xml:space="preserve">directory.</w:t>
      </w:r>
    </w:p>
    <w:bookmarkEnd w:id="34"/>
    <w:bookmarkStart w:id="36" w:name="references"/>
    <w:p>
      <w:pPr>
        <w:pStyle w:val="Heading2"/>
      </w:pPr>
      <w:r>
        <w:t xml:space="preserve">References</w:t>
      </w:r>
    </w:p>
    <w:p>
      <w:pPr>
        <w:pStyle w:val="Compact"/>
        <w:numPr>
          <w:ilvl w:val="0"/>
          <w:numId w:val="1003"/>
        </w:numPr>
      </w:pPr>
      <w:r>
        <w:t xml:space="preserve">Relling MV, Klein TE. CPIC: Clinical Pharmacogenetics Implementation Consortium of the Pharmacogenomics Research Network.</w:t>
      </w:r>
      <w:r>
        <w:t xml:space="preserve"> </w:t>
      </w:r>
      <w:r>
        <w:rPr>
          <w:i/>
          <w:iCs/>
        </w:rPr>
        <w:t xml:space="preserve">Clin Pharmacol Ther.</w:t>
      </w:r>
      <w:r>
        <w:t xml:space="preserve"> </w:t>
      </w:r>
      <w:r>
        <w:t xml:space="preserve">2011;89(3):464-467.</w:t>
      </w:r>
    </w:p>
    <w:p>
      <w:pPr>
        <w:pStyle w:val="Compact"/>
        <w:numPr>
          <w:ilvl w:val="0"/>
          <w:numId w:val="1003"/>
        </w:numPr>
      </w:pPr>
      <w:r>
        <w:t xml:space="preserve">Sangkuhl K, et al. PharmCAT: A clinical pharmacogenomics annotation tool.</w:t>
      </w:r>
      <w:r>
        <w:t xml:space="preserve"> </w:t>
      </w:r>
      <w:r>
        <w:rPr>
          <w:i/>
          <w:iCs/>
        </w:rPr>
        <w:t xml:space="preserve">Clin Pharmacol Ther.</w:t>
      </w:r>
      <w:r>
        <w:t xml:space="preserve"> </w:t>
      </w:r>
      <w:r>
        <w:t xml:space="preserve">2020;107(1):203-210.</w:t>
      </w:r>
    </w:p>
    <w:p>
      <w:pPr>
        <w:pStyle w:val="Compact"/>
        <w:numPr>
          <w:ilvl w:val="0"/>
          <w:numId w:val="1003"/>
        </w:numPr>
      </w:pPr>
      <w:r>
        <w:t xml:space="preserve">Byrska-Bishop M, et al. High-coverage whole-genome sequencing of the expanded 1000 Genomes Project cohort including 602 trios.</w:t>
      </w:r>
      <w:r>
        <w:t xml:space="preserve"> </w:t>
      </w:r>
      <w:r>
        <w:rPr>
          <w:i/>
          <w:iCs/>
        </w:rPr>
        <w:t xml:space="preserve">Cell.</w:t>
      </w:r>
      <w:r>
        <w:t xml:space="preserve"> </w:t>
      </w:r>
      <w:r>
        <w:t xml:space="preserve">2022;185(18):3426-3440.</w:t>
      </w:r>
    </w:p>
    <w:p>
      <w:pPr>
        <w:pStyle w:val="Compact"/>
        <w:numPr>
          <w:ilvl w:val="0"/>
          <w:numId w:val="1003"/>
        </w:numPr>
      </w:pPr>
      <w:r>
        <w:t xml:space="preserve">PharmVar Consortium. Pharmacogene Variation Consortium.</w:t>
      </w:r>
      <w:r>
        <w:t xml:space="preserve"> </w:t>
      </w:r>
      <w:hyperlink r:id="rId35">
        <w:r>
          <w:rPr>
            <w:rStyle w:val="Hyperlink"/>
          </w:rPr>
          <w:t xml:space="preserve">https://www.pharmvar.org/</w:t>
        </w:r>
      </w:hyperlink>
    </w:p>
    <w:p>
      <w:pPr>
        <w:pStyle w:val="Compact"/>
        <w:numPr>
          <w:ilvl w:val="0"/>
          <w:numId w:val="1003"/>
        </w:numPr>
      </w:pPr>
      <w:r>
        <w:t xml:space="preserve">Whirl-Carrillo M, et al. Pharmacogenomics Knowledge for Personalized Medicine.</w:t>
      </w:r>
      <w:r>
        <w:t xml:space="preserve"> </w:t>
      </w:r>
      <w:r>
        <w:rPr>
          <w:i/>
          <w:iCs/>
        </w:rPr>
        <w:t xml:space="preserve">Clin Pharmacol Ther.</w:t>
      </w:r>
      <w:r>
        <w:t xml:space="preserve"> </w:t>
      </w:r>
      <w:r>
        <w:t xml:space="preserve">2012;92(4):414-417.</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www.internationalgenome.org/" TargetMode="External" /><Relationship Type="http://schemas.openxmlformats.org/officeDocument/2006/relationships/hyperlink" Id="rId35" Target="https://www.pharmvar.org/" TargetMode="External" /></Relationships>
</file>

<file path=word/_rels/footnotes.xml.rels><?xml version="1.0" encoding="UTF-8"?><Relationships xmlns="http://schemas.openxmlformats.org/package/2006/relationships"><Relationship Type="http://schemas.openxmlformats.org/officeDocument/2006/relationships/hyperlink" Id="rId32" Target="https://www.internationalgenome.org/" TargetMode="External" /><Relationship Type="http://schemas.openxmlformats.org/officeDocument/2006/relationships/hyperlink" Id="rId35" Target="https://www.pharmvar.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2026-06-26T05:06:49Z</dcterms:created>
  <dcterms:modified xsi:type="dcterms:W3CDTF">2026-06-26T05:06:49Z</dcterms:modified>
</cp:coreProperties>
</file>

<file path=docProps/custom.xml><?xml version="1.0" encoding="utf-8"?>
<Properties xmlns="http://schemas.openxmlformats.org/officeDocument/2006/custom-properties" xmlns:vt="http://schemas.openxmlformats.org/officeDocument/2006/docPropsVTypes"/>
</file>