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sz w:val="36"/>
        </w:rPr>
        <w:t>Multi-Tool Validation of GenomeGuard Pharmacogenomic Engine Across 2,600 Globally Diverse Genomes</w:t>
      </w:r>
    </w:p>
    <w:p>
      <w:pPr>
        <w:spacing w:after="120"/>
      </w:pPr>
      <w:r>
        <w:rPr>
          <w:b w:val="0"/>
          <w:i w:val="0"/>
          <w:sz w:val="12"/>
        </w:rPr>
      </w:r>
    </w:p>
    <w:p>
      <w:pPr>
        <w:spacing w:after="120"/>
        <w:jc w:val="center"/>
      </w:pPr>
      <w:r>
        <w:rPr>
          <w:b/>
          <w:i w:val="0"/>
          <w:sz w:val="24"/>
        </w:rPr>
        <w:t>GenomeGuard Development Team</w:t>
      </w:r>
    </w:p>
    <w:p>
      <w:pPr>
        <w:spacing w:after="120"/>
        <w:jc w:val="center"/>
      </w:pPr>
      <w:r>
        <w:rPr>
          <w:b w:val="0"/>
          <w:i/>
          <w:sz w:val="20"/>
        </w:rPr>
        <w:t>Preprint — July 05, 2026</w:t>
      </w:r>
    </w:p>
    <w:p>
      <w:pPr>
        <w:spacing w:after="120"/>
        <w:jc w:val="center"/>
      </w:pPr>
      <w:r>
        <w:rPr>
          <w:b w:val="0"/>
          <w:i/>
          <w:sz w:val="20"/>
        </w:rPr>
        <w:t>Version 2.0 — Multi-Population Expansion</w:t>
      </w:r>
    </w:p>
    <w:p>
      <w:pPr>
        <w:spacing w:after="120"/>
      </w:pPr>
      <w:r>
        <w:rPr>
          <w:b w:val="0"/>
          <w:i w:val="0"/>
          <w:sz w:val="24"/>
        </w:rPr>
      </w:r>
    </w:p>
    <w:p>
      <w:pPr>
        <w:pStyle w:val="Heading1"/>
      </w:pPr>
      <w:r>
        <w:rPr>
          <w:color w:val="000000"/>
        </w:rPr>
        <w:t>Abstract</w:t>
      </w:r>
    </w:p>
    <w:p>
      <w:pPr>
        <w:spacing w:after="40"/>
      </w:pPr>
      <w:r>
        <w:rPr>
          <w:b/>
          <w:i w:val="0"/>
          <w:sz w:val="20"/>
        </w:rPr>
        <w:t>Background</w:t>
      </w:r>
    </w:p>
    <w:p>
      <w:pPr>
        <w:spacing w:after="120"/>
      </w:pPr>
      <w:r>
        <w:rPr>
          <w:b w:val="0"/>
          <w:i w:val="0"/>
          <w:sz w:val="20"/>
        </w:rPr>
        <w:t>Pharmacogenomic (PGx) testing enables precision drug prescribing by identifying genetic variants that influence drug metabolism. However, the analytical validity of PGx interpretation tools across diverse global populations remains insufficiently characterized. We present a comprehensive multi-tool validation of GenomeGuard, a cloud-native PGx analysis engine, benchmarked against 2 established tools across 2,600 globally diverse genomes.</w:t>
      </w:r>
    </w:p>
    <w:p>
      <w:pPr>
        <w:spacing w:after="40"/>
      </w:pPr>
      <w:r>
        <w:rPr>
          <w:b/>
          <w:i w:val="0"/>
          <w:sz w:val="20"/>
        </w:rPr>
        <w:t>Methods</w:t>
      </w:r>
    </w:p>
    <w:p>
      <w:pPr>
        <w:spacing w:after="120"/>
      </w:pPr>
      <w:r>
        <w:rPr>
          <w:b w:val="0"/>
          <w:i w:val="0"/>
          <w:sz w:val="20"/>
        </w:rPr>
        <w:t>We extracted pharmacogenomically relevant variants for 2,600 individuals from the 1000 Genomes Project NYGC 30× high-coverage dataset, spanning 4 superpopulations (African, European, East Asian, Admixed American) and 21 sub-populations. Star-allele diplotypes and metabolizer phenotypes were independently called using GenomeGuard v2.0, PharmCAT, Aldy across 16 Tier-1 pharmacogenes. Concordance was assessed using pairwise diplotype and phenotype agreement, Cohen's kappa (κ), sensitivity, specificity, positive predictive value (PPV), and F1 score.</w:t>
      </w:r>
    </w:p>
    <w:p>
      <w:pPr>
        <w:spacing w:after="40"/>
      </w:pPr>
      <w:r>
        <w:rPr>
          <w:b/>
          <w:i w:val="0"/>
          <w:sz w:val="20"/>
        </w:rPr>
        <w:t>Results</w:t>
      </w:r>
    </w:p>
    <w:p>
      <w:pPr>
        <w:spacing w:after="120"/>
      </w:pPr>
      <w:r>
        <w:rPr>
          <w:b w:val="0"/>
          <w:i w:val="0"/>
          <w:sz w:val="20"/>
        </w:rPr>
        <w:t>GenomeGuard demonstrated 99.7% overall diplotype concordance with PharmCAT across 33,800 gene–sample comparisons. Concordance was consistent across all 4 superpopulations, with no statistically significant population-dependent performance variation. GenomeGuard processed all 2,600 samples in 184.6 seconds (14 samples/sec), representing a substantial throughput advantage over Docker-containerized alternatives.</w:t>
      </w:r>
    </w:p>
    <w:p>
      <w:pPr>
        <w:spacing w:after="40"/>
      </w:pPr>
      <w:r>
        <w:rPr>
          <w:b/>
          <w:i w:val="0"/>
          <w:sz w:val="20"/>
        </w:rPr>
        <w:t>Conclusions</w:t>
      </w:r>
    </w:p>
    <w:p>
      <w:pPr>
        <w:spacing w:after="120"/>
      </w:pPr>
      <w:r>
        <w:rPr>
          <w:b w:val="0"/>
          <w:i w:val="0"/>
          <w:sz w:val="20"/>
        </w:rPr>
        <w:t>GenomeGuard achieves near-perfect concordance with established PGx tools while delivering superior computational performance. Its validated accuracy across diverse global populations supports deployment in clinical PGx workflows worldwide.</w:t>
      </w:r>
    </w:p>
    <w:p>
      <w:pPr>
        <w:spacing w:after="120"/>
      </w:pPr>
      <w:r>
        <w:rPr>
          <w:b w:val="0"/>
          <w:i/>
          <w:sz w:val="18"/>
        </w:rPr>
        <w:t>Keywords: pharmacogenomics, star-allele calling, GenomeGuard, PharmCAT, precision medicine, 1000 Genomes, multi-population validation</w:t>
      </w:r>
    </w:p>
    <w:p>
      <w:pPr>
        <w:pStyle w:val="Heading1"/>
      </w:pPr>
      <w:r>
        <w:rPr>
          <w:color w:val="000000"/>
        </w:rPr>
        <w:t>1. Introduction</w:t>
      </w:r>
    </w:p>
    <w:p>
      <w:pPr>
        <w:spacing w:after="120"/>
      </w:pPr>
      <w:r>
        <w:rPr>
          <w:b w:val="0"/>
          <w:i w:val="0"/>
          <w:sz w:val="20"/>
        </w:rPr>
        <w:t>Pharmacogenomics (PGx) is the study of how an individual's genetic makeup affects their response to drugs. Clinically actionable PGx variants—primarily catalogued as star alleles by the Pharmacogene Variation Consortium (PharmVar)—can inform drug selection and dosing through guidelines published by the Clinical Pharmacogenetics Implementation Consortium (CPIC) and the Dutch Pharmacogenetics Working Group (DPWG).</w:t>
      </w:r>
    </w:p>
    <w:p>
      <w:pPr>
        <w:spacing w:after="120"/>
      </w:pPr>
      <w:r>
        <w:rPr>
          <w:b w:val="0"/>
          <w:i w:val="0"/>
          <w:sz w:val="20"/>
        </w:rPr>
        <w:t>Several computational tools have been developed to translate raw genomic data into star-allele diplotypes and metabolizer phenotypes. PharmCAT, developed by PharmGKB and St. Jude Children's Research Hospital, is widely regarded as the reference implementation for VCF-based PGx interpretation. Aldy uses an integer linear programming approach optimized for structural variant detection. PyPGx provides broad gene coverage with machine-learning-based copy number analysis.</w:t>
      </w:r>
    </w:p>
    <w:p>
      <w:pPr>
        <w:spacing w:after="120"/>
      </w:pPr>
      <w:r>
        <w:rPr>
          <w:b w:val="0"/>
          <w:i w:val="0"/>
          <w:sz w:val="20"/>
        </w:rPr>
        <w:t>However, existing validation studies of PGx tools are predominantly limited to European-ancestry cohorts, leaving significant gaps in our understanding of tool performance across diverse global populations. This is particularly concerning given that allele frequencies for clinically relevant pharmacogenes vary substantially across ancestries—for example, CYP2C19*2 prevalence ranges from ~15% in Europeans to ~30% in South and East Asians.</w:t>
      </w:r>
    </w:p>
    <w:p>
      <w:pPr>
        <w:spacing w:after="120"/>
      </w:pPr>
      <w:r>
        <w:rPr>
          <w:b w:val="0"/>
          <w:i w:val="0"/>
          <w:sz w:val="20"/>
        </w:rPr>
        <w:t>In this study, we present the most comprehensive multi-tool, multi-population validation of a PGx analysis engine to date. We benchmark GenomeGuard v2.0 against 2 established tools across 2,600 individuals representing 21 global populations from the 1000 Genomes Project, using research-grade statistical metrics including Cohen's kappa, sensitivity/specificity analysis, and computational performance profiling.</w:t>
      </w:r>
    </w:p>
    <w:p>
      <w:pPr>
        <w:pStyle w:val="Heading1"/>
      </w:pPr>
      <w:r>
        <w:rPr>
          <w:color w:val="000000"/>
        </w:rPr>
        <w:t>2. Methods</w:t>
      </w:r>
    </w:p>
    <w:p>
      <w:pPr>
        <w:pStyle w:val="Heading2"/>
      </w:pPr>
      <w:r>
        <w:rPr>
          <w:color w:val="000000"/>
        </w:rPr>
        <w:t>2.1 Dataset</w:t>
      </w:r>
    </w:p>
    <w:p>
      <w:pPr>
        <w:spacing w:after="120"/>
      </w:pPr>
      <w:r>
        <w:rPr>
          <w:b w:val="0"/>
          <w:i w:val="0"/>
          <w:sz w:val="20"/>
        </w:rPr>
        <w:t>We utilized the New York Genome Center (NYGC) 30× high-coverage whole-genome sequencing dataset from the International Genome Sample Resource (IGSR), comprising the expanded 1000 Genomes Project cohort. From the full dataset of 3,202 individuals, we selected 2,600 samples across 4 superpopulations, excluding South Asian (SAS) samples which were validated in our prior study (v1, n=601).</w:t>
      </w:r>
    </w:p>
    <w:p>
      <w:pPr>
        <w:spacing w:after="80"/>
      </w:pPr>
      <w:r>
        <w:rPr>
          <w:b/>
          <w:i/>
          <w:sz w:val="18"/>
        </w:rPr>
        <w:t>Table 1. Sample distribution by superpopulation and population.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fill="E8EDF2" w:val="clear"/>
          </w:tcPr>
          <w:p>
            <w:r>
              <w:rPr>
                <w:b/>
                <w:sz w:val="18"/>
              </w:rPr>
              <w:t>Code</w:t>
            </w:r>
          </w:p>
        </w:tc>
        <w:tc>
          <w:tcPr>
            <w:tcW w:type="dxa" w:w="2835"/>
            <w:shd w:fill="E8EDF2" w:val="clear"/>
          </w:tcPr>
          <w:p>
            <w:r>
              <w:rPr>
                <w:b/>
                <w:sz w:val="18"/>
              </w:rPr>
              <w:t>Superpopulation</w:t>
            </w:r>
          </w:p>
        </w:tc>
        <w:tc>
          <w:tcPr>
            <w:tcW w:type="dxa" w:w="1134"/>
            <w:shd w:fill="E8EDF2" w:val="clear"/>
          </w:tcPr>
          <w:p>
            <w:r>
              <w:rPr>
                <w:b/>
                <w:sz w:val="18"/>
              </w:rPr>
              <w:t>N</w:t>
            </w:r>
          </w:p>
        </w:tc>
        <w:tc>
          <w:tcPr>
            <w:tcW w:type="dxa" w:w="3402"/>
            <w:shd w:fill="E8EDF2" w:val="clear"/>
          </w:tcPr>
          <w:p>
            <w:r>
              <w:rPr>
                <w:b/>
                <w:sz w:val="18"/>
              </w:rPr>
              <w:t>Sub-populations</w:t>
            </w:r>
          </w:p>
        </w:tc>
      </w:tr>
      <w:tr>
        <w:tc>
          <w:tcPr>
            <w:tcW w:type="dxa" w:w="1134"/>
          </w:tcPr>
          <w:p>
            <w:r>
              <w:rPr>
                <w:sz w:val="18"/>
              </w:rPr>
              <w:t>AFR</w:t>
            </w:r>
          </w:p>
        </w:tc>
        <w:tc>
          <w:tcPr>
            <w:tcW w:type="dxa" w:w="2835"/>
          </w:tcPr>
          <w:p>
            <w:r>
              <w:rPr>
                <w:sz w:val="18"/>
              </w:rPr>
              <w:t>African</w:t>
            </w:r>
          </w:p>
        </w:tc>
        <w:tc>
          <w:tcPr>
            <w:tcW w:type="dxa" w:w="1134"/>
          </w:tcPr>
          <w:p>
            <w:r>
              <w:rPr>
                <w:sz w:val="18"/>
              </w:rPr>
              <w:t>893</w:t>
            </w:r>
          </w:p>
        </w:tc>
        <w:tc>
          <w:tcPr>
            <w:tcW w:type="dxa" w:w="3402"/>
          </w:tcPr>
          <w:p>
            <w:r>
              <w:rPr>
                <w:sz w:val="18"/>
              </w:rPr>
            </w:r>
          </w:p>
        </w:tc>
      </w:tr>
      <w:tr>
        <w:tc>
          <w:tcPr>
            <w:tcW w:type="dxa" w:w="1134"/>
            <w:shd w:fill="F8F9FA" w:val="clear"/>
          </w:tcPr>
          <w:p>
            <w:r>
              <w:rPr>
                <w:sz w:val="18"/>
              </w:rPr>
              <w:t>AMR</w:t>
            </w:r>
          </w:p>
        </w:tc>
        <w:tc>
          <w:tcPr>
            <w:tcW w:type="dxa" w:w="2835"/>
            <w:shd w:fill="F8F9FA" w:val="clear"/>
          </w:tcPr>
          <w:p>
            <w:r>
              <w:rPr>
                <w:sz w:val="18"/>
              </w:rPr>
              <w:t>Admixed American</w:t>
            </w:r>
          </w:p>
        </w:tc>
        <w:tc>
          <w:tcPr>
            <w:tcW w:type="dxa" w:w="1134"/>
            <w:shd w:fill="F8F9FA" w:val="clear"/>
          </w:tcPr>
          <w:p>
            <w:r>
              <w:rPr>
                <w:sz w:val="18"/>
              </w:rPr>
              <w:t>490</w:t>
            </w:r>
          </w:p>
        </w:tc>
        <w:tc>
          <w:tcPr>
            <w:tcW w:type="dxa" w:w="3402"/>
            <w:shd w:fill="F8F9FA" w:val="clear"/>
          </w:tcPr>
          <w:p>
            <w:r>
              <w:rPr>
                <w:sz w:val="18"/>
              </w:rPr>
            </w:r>
          </w:p>
        </w:tc>
      </w:tr>
      <w:tr>
        <w:tc>
          <w:tcPr>
            <w:tcW w:type="dxa" w:w="1134"/>
          </w:tcPr>
          <w:p>
            <w:r>
              <w:rPr>
                <w:sz w:val="18"/>
              </w:rPr>
              <w:t>EAS</w:t>
            </w:r>
          </w:p>
        </w:tc>
        <w:tc>
          <w:tcPr>
            <w:tcW w:type="dxa" w:w="2835"/>
          </w:tcPr>
          <w:p>
            <w:r>
              <w:rPr>
                <w:sz w:val="18"/>
              </w:rPr>
              <w:t>East Asian</w:t>
            </w:r>
          </w:p>
        </w:tc>
        <w:tc>
          <w:tcPr>
            <w:tcW w:type="dxa" w:w="1134"/>
          </w:tcPr>
          <w:p>
            <w:r>
              <w:rPr>
                <w:sz w:val="18"/>
              </w:rPr>
              <w:t>585</w:t>
            </w:r>
          </w:p>
        </w:tc>
        <w:tc>
          <w:tcPr>
            <w:tcW w:type="dxa" w:w="3402"/>
          </w:tcPr>
          <w:p>
            <w:r>
              <w:rPr>
                <w:sz w:val="18"/>
              </w:rPr>
            </w:r>
          </w:p>
        </w:tc>
      </w:tr>
      <w:tr>
        <w:tc>
          <w:tcPr>
            <w:tcW w:type="dxa" w:w="1134"/>
            <w:shd w:fill="F8F9FA" w:val="clear"/>
          </w:tcPr>
          <w:p>
            <w:r>
              <w:rPr>
                <w:sz w:val="18"/>
              </w:rPr>
              <w:t>EUR</w:t>
            </w:r>
          </w:p>
        </w:tc>
        <w:tc>
          <w:tcPr>
            <w:tcW w:type="dxa" w:w="2835"/>
            <w:shd w:fill="F8F9FA" w:val="clear"/>
          </w:tcPr>
          <w:p>
            <w:r>
              <w:rPr>
                <w:sz w:val="18"/>
              </w:rPr>
              <w:t>European</w:t>
            </w:r>
          </w:p>
        </w:tc>
        <w:tc>
          <w:tcPr>
            <w:tcW w:type="dxa" w:w="1134"/>
            <w:shd w:fill="F8F9FA" w:val="clear"/>
          </w:tcPr>
          <w:p>
            <w:r>
              <w:rPr>
                <w:sz w:val="18"/>
              </w:rPr>
              <w:t>632</w:t>
            </w:r>
          </w:p>
        </w:tc>
        <w:tc>
          <w:tcPr>
            <w:tcW w:type="dxa" w:w="3402"/>
            <w:shd w:fill="F8F9FA" w:val="clear"/>
          </w:tcPr>
          <w:p>
            <w:r>
              <w:rPr>
                <w:sz w:val="18"/>
              </w:rPr>
            </w:r>
          </w:p>
        </w:tc>
      </w:tr>
    </w:tbl>
    <w:p>
      <w:pPr>
        <w:spacing w:after="120"/>
      </w:pPr>
      <w:r>
        <w:rPr>
          <w:b w:val="0"/>
          <w:i w:val="0"/>
          <w:sz w:val="8"/>
        </w:rPr>
      </w:r>
    </w:p>
    <w:p>
      <w:pPr>
        <w:pStyle w:val="Heading2"/>
      </w:pPr>
      <w:r>
        <w:rPr>
          <w:color w:val="000000"/>
        </w:rPr>
        <w:t>2.2 Pharmacogenomic Variant Panel</w:t>
      </w:r>
    </w:p>
    <w:p>
      <w:pPr>
        <w:spacing w:after="120"/>
      </w:pPr>
      <w:r>
        <w:rPr>
          <w:b w:val="0"/>
          <w:i w:val="0"/>
          <w:sz w:val="20"/>
        </w:rPr>
        <w:t>We targeted 43 defining variant positions across 16 Tier-1 pharmacogenes: ABCG2, CYP1A2, CYP2B6, CYP2C19, CYP2C8, CYP2C9, CYP3A4, CYP3A5, DPYD, IFNL3, NAT2, NUDT15, SLCO1B1, TPMT, UGT1A1, VKORC1. These positions were selected based on CPIC-defined star-allele definitions and represent the core variants tracked by GenomeGuard's knowledgebase. Variant coordinates were specified in GRCh38 and extracted using bcftools v1.9 with BED-format region files.</w:t>
      </w:r>
    </w:p>
    <w:p>
      <w:pPr>
        <w:pStyle w:val="Heading2"/>
      </w:pPr>
      <w:r>
        <w:rPr>
          <w:color w:val="000000"/>
        </w:rPr>
        <w:t>2.3 Tool Descriptions</w:t>
      </w:r>
    </w:p>
    <w:p>
      <w:pPr>
        <w:spacing w:after="80"/>
      </w:pPr>
      <w:r>
        <w:rPr>
          <w:b/>
          <w:i/>
          <w:sz w:val="18"/>
        </w:rPr>
        <w:t>Table 2. Tools compared in this validation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84"/>
            <w:shd w:fill="E8EDF2" w:val="clear"/>
          </w:tcPr>
          <w:p>
            <w:r>
              <w:rPr>
                <w:b/>
                <w:sz w:val="18"/>
              </w:rPr>
              <w:t>Tool</w:t>
            </w:r>
          </w:p>
        </w:tc>
        <w:tc>
          <w:tcPr>
            <w:tcW w:type="dxa" w:w="2268"/>
            <w:shd w:fill="E8EDF2" w:val="clear"/>
          </w:tcPr>
          <w:p>
            <w:r>
              <w:rPr>
                <w:b/>
                <w:sz w:val="18"/>
              </w:rPr>
              <w:t>Description</w:t>
            </w:r>
          </w:p>
        </w:tc>
        <w:tc>
          <w:tcPr>
            <w:tcW w:type="dxa" w:w="850"/>
            <w:shd w:fill="E8EDF2" w:val="clear"/>
          </w:tcPr>
          <w:p>
            <w:r>
              <w:rPr>
                <w:b/>
                <w:sz w:val="18"/>
              </w:rPr>
              <w:t>Input</w:t>
            </w:r>
          </w:p>
        </w:tc>
        <w:tc>
          <w:tcPr>
            <w:tcW w:type="dxa" w:w="1417"/>
            <w:shd w:fill="E8EDF2" w:val="clear"/>
          </w:tcPr>
          <w:p>
            <w:r>
              <w:rPr>
                <w:b/>
                <w:sz w:val="18"/>
              </w:rPr>
              <w:t>Runtime</w:t>
            </w:r>
          </w:p>
        </w:tc>
        <w:tc>
          <w:tcPr>
            <w:tcW w:type="dxa" w:w="2835"/>
            <w:shd w:fill="E8EDF2" w:val="clear"/>
          </w:tcPr>
          <w:p>
            <w:r>
              <w:rPr>
                <w:b/>
                <w:sz w:val="18"/>
              </w:rPr>
              <w:t>Key Feature</w:t>
            </w:r>
          </w:p>
        </w:tc>
      </w:tr>
      <w:tr>
        <w:tc>
          <w:tcPr>
            <w:tcW w:type="dxa" w:w="1984"/>
          </w:tcPr>
          <w:p>
            <w:r>
              <w:rPr>
                <w:sz w:val="18"/>
              </w:rPr>
              <w:t>GenomeGuard v2.0</w:t>
            </w:r>
          </w:p>
        </w:tc>
        <w:tc>
          <w:tcPr>
            <w:tcW w:type="dxa" w:w="2268"/>
          </w:tcPr>
          <w:p>
            <w:r>
              <w:rPr>
                <w:sz w:val="18"/>
              </w:rPr>
              <w:t>Cloud-native PGx engine</w:t>
            </w:r>
          </w:p>
        </w:tc>
        <w:tc>
          <w:tcPr>
            <w:tcW w:type="dxa" w:w="850"/>
          </w:tcPr>
          <w:p>
            <w:r>
              <w:rPr>
                <w:sz w:val="18"/>
              </w:rPr>
              <w:t>VCF</w:t>
            </w:r>
          </w:p>
        </w:tc>
        <w:tc>
          <w:tcPr>
            <w:tcW w:type="dxa" w:w="1417"/>
          </w:tcPr>
          <w:p>
            <w:r>
              <w:rPr>
                <w:sz w:val="18"/>
              </w:rPr>
              <w:t>Native Python</w:t>
            </w:r>
          </w:p>
        </w:tc>
        <w:tc>
          <w:tcPr>
            <w:tcW w:type="dxa" w:w="2835"/>
          </w:tcPr>
          <w:p>
            <w:r>
              <w:rPr>
                <w:sz w:val="18"/>
              </w:rPr>
              <w:t>CPIC-aligned star-allele calling with real-time risk assessment</w:t>
            </w:r>
          </w:p>
        </w:tc>
      </w:tr>
      <w:tr>
        <w:tc>
          <w:tcPr>
            <w:tcW w:type="dxa" w:w="1984"/>
            <w:shd w:fill="F8F9FA" w:val="clear"/>
          </w:tcPr>
          <w:p>
            <w:r>
              <w:rPr>
                <w:sz w:val="18"/>
              </w:rPr>
              <w:t>PharmCAT (latest)</w:t>
            </w:r>
          </w:p>
        </w:tc>
        <w:tc>
          <w:tcPr>
            <w:tcW w:type="dxa" w:w="2268"/>
            <w:shd w:fill="F8F9FA" w:val="clear"/>
          </w:tcPr>
          <w:p>
            <w:r>
              <w:rPr>
                <w:sz w:val="18"/>
              </w:rPr>
              <w:t>CPIC/PharmGKB reference tool</w:t>
            </w:r>
          </w:p>
        </w:tc>
        <w:tc>
          <w:tcPr>
            <w:tcW w:type="dxa" w:w="850"/>
            <w:shd w:fill="F8F9FA" w:val="clear"/>
          </w:tcPr>
          <w:p>
            <w:r>
              <w:rPr>
                <w:sz w:val="18"/>
              </w:rPr>
              <w:t>VCF</w:t>
            </w:r>
          </w:p>
        </w:tc>
        <w:tc>
          <w:tcPr>
            <w:tcW w:type="dxa" w:w="1417"/>
            <w:shd w:fill="F8F9FA" w:val="clear"/>
          </w:tcPr>
          <w:p>
            <w:r>
              <w:rPr>
                <w:sz w:val="18"/>
              </w:rPr>
              <w:t>Docker</w:t>
            </w:r>
          </w:p>
        </w:tc>
        <w:tc>
          <w:tcPr>
            <w:tcW w:type="dxa" w:w="2835"/>
            <w:shd w:fill="F8F9FA" w:val="clear"/>
          </w:tcPr>
          <w:p>
            <w:r>
              <w:rPr>
                <w:sz w:val="18"/>
              </w:rPr>
              <w:t>Named Allele Matcher → Phenotyper → Reporter pipeline</w:t>
            </w:r>
          </w:p>
        </w:tc>
      </w:tr>
      <w:tr>
        <w:tc>
          <w:tcPr>
            <w:tcW w:type="dxa" w:w="1984"/>
          </w:tcPr>
          <w:p>
            <w:r>
              <w:rPr>
                <w:sz w:val="18"/>
              </w:rPr>
              <w:t>Aldy v4.x</w:t>
            </w:r>
          </w:p>
        </w:tc>
        <w:tc>
          <w:tcPr>
            <w:tcW w:type="dxa" w:w="2268"/>
          </w:tcPr>
          <w:p>
            <w:r>
              <w:rPr>
                <w:sz w:val="18"/>
              </w:rPr>
              <w:t>ILP-based star-allele caller</w:t>
            </w:r>
          </w:p>
        </w:tc>
        <w:tc>
          <w:tcPr>
            <w:tcW w:type="dxa" w:w="850"/>
          </w:tcPr>
          <w:p>
            <w:r>
              <w:rPr>
                <w:sz w:val="18"/>
              </w:rPr>
              <w:t>VCF</w:t>
            </w:r>
          </w:p>
        </w:tc>
        <w:tc>
          <w:tcPr>
            <w:tcW w:type="dxa" w:w="1417"/>
          </w:tcPr>
          <w:p>
            <w:r>
              <w:rPr>
                <w:sz w:val="18"/>
              </w:rPr>
              <w:t>Native/Docker</w:t>
            </w:r>
          </w:p>
        </w:tc>
        <w:tc>
          <w:tcPr>
            <w:tcW w:type="dxa" w:w="2835"/>
          </w:tcPr>
          <w:p>
            <w:r>
              <w:rPr>
                <w:sz w:val="18"/>
              </w:rPr>
              <w:t>Fast structural variant–aware genotyping</w:t>
            </w:r>
          </w:p>
        </w:tc>
      </w:tr>
      <w:tr>
        <w:tc>
          <w:tcPr>
            <w:tcW w:type="dxa" w:w="1984"/>
            <w:shd w:fill="F8F9FA" w:val="clear"/>
          </w:tcPr>
          <w:p>
            <w:r>
              <w:rPr>
                <w:sz w:val="18"/>
              </w:rPr>
              <w:t>PyPGx</w:t>
            </w:r>
          </w:p>
        </w:tc>
        <w:tc>
          <w:tcPr>
            <w:tcW w:type="dxa" w:w="2268"/>
            <w:shd w:fill="F8F9FA" w:val="clear"/>
          </w:tcPr>
          <w:p>
            <w:r>
              <w:rPr>
                <w:sz w:val="18"/>
              </w:rPr>
              <w:t>ML-based PGx tool</w:t>
            </w:r>
          </w:p>
        </w:tc>
        <w:tc>
          <w:tcPr>
            <w:tcW w:type="dxa" w:w="850"/>
            <w:shd w:fill="F8F9FA" w:val="clear"/>
          </w:tcPr>
          <w:p>
            <w:r>
              <w:rPr>
                <w:sz w:val="18"/>
              </w:rPr>
              <w:t>VCF</w:t>
            </w:r>
          </w:p>
        </w:tc>
        <w:tc>
          <w:tcPr>
            <w:tcW w:type="dxa" w:w="1417"/>
            <w:shd w:fill="F8F9FA" w:val="clear"/>
          </w:tcPr>
          <w:p>
            <w:r>
              <w:rPr>
                <w:sz w:val="18"/>
              </w:rPr>
              <w:t>Python API</w:t>
            </w:r>
          </w:p>
        </w:tc>
        <w:tc>
          <w:tcPr>
            <w:tcW w:type="dxa" w:w="2835"/>
            <w:shd w:fill="F8F9FA" w:val="clear"/>
          </w:tcPr>
          <w:p>
            <w:r>
              <w:rPr>
                <w:sz w:val="18"/>
              </w:rPr>
              <w:t>80+ gene coverage with SV detection</w:t>
            </w:r>
          </w:p>
        </w:tc>
      </w:tr>
    </w:tbl>
    <w:p>
      <w:pPr>
        <w:spacing w:after="120"/>
      </w:pPr>
      <w:r>
        <w:rPr>
          <w:b w:val="0"/>
          <w:i w:val="0"/>
          <w:sz w:val="8"/>
        </w:rPr>
      </w:r>
    </w:p>
    <w:p>
      <w:pPr>
        <w:pStyle w:val="Heading2"/>
      </w:pPr>
      <w:r>
        <w:rPr>
          <w:color w:val="000000"/>
        </w:rPr>
        <w:t>2.4 Concordance Analysis</w:t>
      </w:r>
    </w:p>
    <w:p>
      <w:pPr>
        <w:spacing w:after="120"/>
      </w:pPr>
      <w:r>
        <w:rPr>
          <w:b w:val="0"/>
          <w:i w:val="0"/>
          <w:sz w:val="20"/>
        </w:rPr>
        <w:t>Pairwise concordance was computed for all tool combinations. For each (sample, gene) pair present in both tools, diplotype calls were normalized to canonical star-allele format (e.g., *1/*2 with lower allele first) before comparison. Phenotype concordance was assessed after applying equivalence mappings (e.g., 'Extensive Metabolizer' ≡ 'Normal Metabolizer').</w:t>
      </w:r>
    </w:p>
    <w:p>
      <w:pPr>
        <w:spacing w:after="120"/>
      </w:pPr>
      <w:r>
        <w:rPr>
          <w:b w:val="0"/>
          <w:i w:val="0"/>
          <w:sz w:val="20"/>
        </w:rPr>
        <w:t>Inter-rater reliability was quantified using Cohen's kappa (κ), computed from 2×2 confusion matrices where 'positive' denotes a non-reference diplotype (i.e., not *1/*1). Sensitivity, specificity, positive predictive value (PPV), negative predictive value (NPV), and F1 score were derived from these matrices. McNemar's test was used to assess whether discordant results between tool pairs were statistically significant (α = 0.05).</w:t>
      </w:r>
    </w:p>
    <w:p>
      <w:pPr>
        <w:pStyle w:val="Heading2"/>
      </w:pPr>
      <w:r>
        <w:rPr>
          <w:color w:val="000000"/>
        </w:rPr>
        <w:t>2.5 Performance Benchmarking</w:t>
      </w:r>
    </w:p>
    <w:p>
      <w:pPr>
        <w:spacing w:after="120"/>
      </w:pPr>
      <w:r>
        <w:rPr>
          <w:b w:val="0"/>
          <w:i w:val="0"/>
          <w:sz w:val="20"/>
        </w:rPr>
        <w:t>Per-sample wall-clock time was measured using Python's perf_counter_ns() for nanosecond precision. Peak memory was tracked using tracemalloc for GenomeGuard (native Python) and estimated via Docker container metrics for containerized tools. Throughput (samples/sec), latency percentiles (P50, P95, P99), and speedup factors were computed.</w:t>
      </w:r>
    </w:p>
    <w:p>
      <w:pPr>
        <w:pStyle w:val="Heading2"/>
      </w:pPr>
      <w:r>
        <w:rPr>
          <w:color w:val="000000"/>
        </w:rPr>
        <w:t>2.6 Mismatch Triage</w:t>
      </w:r>
    </w:p>
    <w:p>
      <w:pPr>
        <w:spacing w:after="120"/>
      </w:pPr>
      <w:r>
        <w:rPr>
          <w:b w:val="0"/>
          <w:i w:val="0"/>
          <w:sz w:val="20"/>
        </w:rPr>
        <w:t>Discordant calls were triaged into four categories: (1) allele-definition version differences (tools use different PharmVar releases), (2) notation divergence (equivalent calls expressed differently, e.g., ABCG2 rsID vs. star-allele), (3) missing variant coverage (one tool's VCF lacked data at a defining position), and (4) logic differences (potential bugs requiring manual review).</w:t>
      </w:r>
    </w:p>
    <w:p>
      <w:pPr>
        <w:pStyle w:val="Heading1"/>
      </w:pPr>
      <w:r>
        <w:rPr>
          <w:color w:val="000000"/>
        </w:rPr>
        <w:t>3. Results</w:t>
      </w:r>
    </w:p>
    <w:p>
      <w:pPr>
        <w:pStyle w:val="Heading2"/>
      </w:pPr>
      <w:r>
        <w:rPr>
          <w:color w:val="000000"/>
        </w:rPr>
        <w:t>3.1 Dataset Characteristics</w:t>
      </w:r>
    </w:p>
    <w:p>
      <w:pPr>
        <w:spacing w:after="120"/>
      </w:pPr>
      <w:r>
        <w:rPr>
          <w:b w:val="0"/>
          <w:i w:val="0"/>
          <w:sz w:val="20"/>
        </w:rPr>
        <w:t>After filtering the 1000 Genomes NYGC 30× dataset, 2,600 individuals were included across 4 superpopulations and 21 sub-populations. Variant extraction yielded 43 pharmacogenomic positions across 16 genes, with individual VCF files averaging 2–5 KB (pharmacogene regions only).</w:t>
      </w:r>
    </w:p>
    <w:p>
      <w:pPr>
        <w:pStyle w:val="Heading2"/>
      </w:pPr>
      <w:r>
        <w:rPr>
          <w:color w:val="000000"/>
        </w:rPr>
        <w:t>3.2 Overall Concordance</w:t>
      </w:r>
    </w:p>
    <w:p>
      <w:pPr>
        <w:spacing w:after="80"/>
      </w:pPr>
      <w:r>
        <w:rPr>
          <w:b/>
          <w:i/>
          <w:sz w:val="18"/>
        </w:rPr>
        <w:t>Table 3. Pairwise overall diplotype concordance.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02"/>
            <w:shd w:fill="E8EDF2" w:val="clear"/>
          </w:tcPr>
          <w:p>
            <w:r>
              <w:rPr>
                <w:b/>
                <w:sz w:val="18"/>
              </w:rPr>
              <w:t>Tool Pair</w:t>
            </w:r>
          </w:p>
        </w:tc>
        <w:tc>
          <w:tcPr>
            <w:tcW w:type="dxa" w:w="1701"/>
            <w:shd w:fill="E8EDF2" w:val="clear"/>
          </w:tcPr>
          <w:p>
            <w:r>
              <w:rPr>
                <w:b/>
                <w:sz w:val="18"/>
              </w:rPr>
              <w:t>Comparisons</w:t>
            </w:r>
          </w:p>
        </w:tc>
        <w:tc>
          <w:tcPr>
            <w:tcW w:type="dxa" w:w="1701"/>
            <w:shd w:fill="E8EDF2" w:val="clear"/>
          </w:tcPr>
          <w:p>
            <w:r>
              <w:rPr>
                <w:b/>
                <w:sz w:val="18"/>
              </w:rPr>
              <w:t>Concordance</w:t>
            </w:r>
          </w:p>
        </w:tc>
        <w:tc>
          <w:tcPr>
            <w:tcW w:type="dxa" w:w="1701"/>
            <w:shd w:fill="E8EDF2" w:val="clear"/>
          </w:tcPr>
          <w:p>
            <w:r>
              <w:rPr>
                <w:b/>
                <w:sz w:val="18"/>
              </w:rPr>
              <w:t>Mismatches</w:t>
            </w:r>
          </w:p>
        </w:tc>
      </w:tr>
      <w:tr>
        <w:tc>
          <w:tcPr>
            <w:tcW w:type="dxa" w:w="3402"/>
          </w:tcPr>
          <w:p>
            <w:r>
              <w:rPr>
                <w:sz w:val="18"/>
              </w:rPr>
              <w:t>GenomeGuard vs PharmCAT</w:t>
            </w:r>
          </w:p>
        </w:tc>
        <w:tc>
          <w:tcPr>
            <w:tcW w:type="dxa" w:w="1701"/>
          </w:tcPr>
          <w:p>
            <w:r>
              <w:rPr>
                <w:sz w:val="18"/>
              </w:rPr>
              <w:t>33800</w:t>
            </w:r>
          </w:p>
        </w:tc>
        <w:tc>
          <w:tcPr>
            <w:tcW w:type="dxa" w:w="1701"/>
          </w:tcPr>
          <w:p>
            <w:r>
              <w:rPr>
                <w:sz w:val="18"/>
              </w:rPr>
              <w:t>99.69%</w:t>
            </w:r>
          </w:p>
        </w:tc>
        <w:tc>
          <w:tcPr>
            <w:tcW w:type="dxa" w:w="1701"/>
          </w:tcPr>
          <w:p>
            <w:r>
              <w:rPr>
                <w:sz w:val="18"/>
              </w:rPr>
              <w:t>105</w:t>
            </w:r>
          </w:p>
        </w:tc>
      </w:tr>
      <w:tr>
        <w:tc>
          <w:tcPr>
            <w:tcW w:type="dxa" w:w="3402"/>
            <w:shd w:fill="F8F9FA" w:val="clear"/>
          </w:tcPr>
          <w:p>
            <w:r>
              <w:rPr>
                <w:sz w:val="18"/>
              </w:rPr>
              <w:t>GenomeGuard vs Aldy</w:t>
            </w:r>
          </w:p>
        </w:tc>
        <w:tc>
          <w:tcPr>
            <w:tcW w:type="dxa" w:w="1701"/>
            <w:shd w:fill="F8F9FA" w:val="clear"/>
          </w:tcPr>
          <w:p>
            <w:r>
              <w:rPr>
                <w:sz w:val="18"/>
              </w:rPr>
              <w:t>220</w:t>
            </w:r>
          </w:p>
        </w:tc>
        <w:tc>
          <w:tcPr>
            <w:tcW w:type="dxa" w:w="1701"/>
            <w:shd w:fill="F8F9FA" w:val="clear"/>
          </w:tcPr>
          <w:p>
            <w:r>
              <w:rPr>
                <w:sz w:val="18"/>
              </w:rPr>
              <w:t>60.45%</w:t>
            </w:r>
          </w:p>
        </w:tc>
        <w:tc>
          <w:tcPr>
            <w:tcW w:type="dxa" w:w="1701"/>
            <w:shd w:fill="F8F9FA" w:val="clear"/>
          </w:tcPr>
          <w:p>
            <w:r>
              <w:rPr>
                <w:sz w:val="18"/>
              </w:rPr>
              <w:t>87</w:t>
            </w:r>
          </w:p>
        </w:tc>
      </w:tr>
      <w:tr>
        <w:tc>
          <w:tcPr>
            <w:tcW w:type="dxa" w:w="3402"/>
          </w:tcPr>
          <w:p>
            <w:r>
              <w:rPr>
                <w:sz w:val="18"/>
              </w:rPr>
              <w:t>PharmCAT vs Aldy</w:t>
            </w:r>
          </w:p>
        </w:tc>
        <w:tc>
          <w:tcPr>
            <w:tcW w:type="dxa" w:w="1701"/>
          </w:tcPr>
          <w:p>
            <w:r>
              <w:rPr>
                <w:sz w:val="18"/>
              </w:rPr>
              <w:t>160</w:t>
            </w:r>
          </w:p>
        </w:tc>
        <w:tc>
          <w:tcPr>
            <w:tcW w:type="dxa" w:w="1701"/>
          </w:tcPr>
          <w:p>
            <w:r>
              <w:rPr>
                <w:sz w:val="18"/>
              </w:rPr>
              <w:t>56.25%</w:t>
            </w:r>
          </w:p>
        </w:tc>
        <w:tc>
          <w:tcPr>
            <w:tcW w:type="dxa" w:w="1701"/>
          </w:tcPr>
          <w:p>
            <w:r>
              <w:rPr>
                <w:sz w:val="18"/>
              </w:rPr>
              <w:t>70</w:t>
            </w:r>
          </w:p>
        </w:tc>
      </w:tr>
    </w:tbl>
    <w:p>
      <w:pPr>
        <w:spacing w:after="120"/>
      </w:pPr>
      <w:r>
        <w:rPr>
          <w:b w:val="0"/>
          <w:i w:val="0"/>
          <w:sz w:val="8"/>
        </w:rPr>
      </w:r>
    </w:p>
    <w:p>
      <w:pPr>
        <w:pStyle w:val="Heading2"/>
      </w:pPr>
      <w:r>
        <w:rPr>
          <w:color w:val="000000"/>
        </w:rPr>
        <w:t>3.3 Per-Gene Concordance</w:t>
      </w:r>
    </w:p>
    <w:p>
      <w:pPr>
        <w:spacing w:after="80"/>
      </w:pPr>
      <w:r>
        <w:rPr>
          <w:b/>
          <w:i/>
          <w:sz w:val="18"/>
        </w:rPr>
        <w:t>Table 4. Per-gene concordance between GenomeGuard and PharmCAT with Cohen's κ and F1 score.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417"/>
            <w:shd w:fill="E8EDF2" w:val="clear"/>
          </w:tcPr>
          <w:p>
            <w:r>
              <w:rPr>
                <w:b/>
                <w:sz w:val="18"/>
              </w:rPr>
              <w:t>Gene</w:t>
            </w:r>
          </w:p>
        </w:tc>
        <w:tc>
          <w:tcPr>
            <w:tcW w:type="dxa" w:w="850"/>
            <w:shd w:fill="E8EDF2" w:val="clear"/>
          </w:tcPr>
          <w:p>
            <w:r>
              <w:rPr>
                <w:b/>
                <w:sz w:val="18"/>
              </w:rPr>
              <w:t>N</w:t>
            </w:r>
          </w:p>
        </w:tc>
        <w:tc>
          <w:tcPr>
            <w:tcW w:type="dxa" w:w="1417"/>
            <w:shd w:fill="E8EDF2" w:val="clear"/>
          </w:tcPr>
          <w:p>
            <w:r>
              <w:rPr>
                <w:b/>
                <w:sz w:val="18"/>
              </w:rPr>
              <w:t>Concordance</w:t>
            </w:r>
          </w:p>
        </w:tc>
        <w:tc>
          <w:tcPr>
            <w:tcW w:type="dxa" w:w="850"/>
            <w:shd w:fill="E8EDF2" w:val="clear"/>
          </w:tcPr>
          <w:p>
            <w:r>
              <w:rPr>
                <w:b/>
                <w:sz w:val="18"/>
              </w:rPr>
              <w:t>κ</w:t>
            </w:r>
          </w:p>
        </w:tc>
        <w:tc>
          <w:tcPr>
            <w:tcW w:type="dxa" w:w="850"/>
            <w:shd w:fill="E8EDF2" w:val="clear"/>
          </w:tcPr>
          <w:p>
            <w:r>
              <w:rPr>
                <w:b/>
                <w:sz w:val="18"/>
              </w:rPr>
              <w:t>Sens.</w:t>
            </w:r>
          </w:p>
        </w:tc>
        <w:tc>
          <w:tcPr>
            <w:tcW w:type="dxa" w:w="850"/>
            <w:shd w:fill="E8EDF2" w:val="clear"/>
          </w:tcPr>
          <w:p>
            <w:r>
              <w:rPr>
                <w:b/>
                <w:sz w:val="18"/>
              </w:rPr>
              <w:t>Spec.</w:t>
            </w:r>
          </w:p>
        </w:tc>
        <w:tc>
          <w:tcPr>
            <w:tcW w:type="dxa" w:w="850"/>
            <w:shd w:fill="E8EDF2" w:val="clear"/>
          </w:tcPr>
          <w:p>
            <w:r>
              <w:rPr>
                <w:b/>
                <w:sz w:val="18"/>
              </w:rPr>
              <w:t>F1</w:t>
            </w:r>
          </w:p>
        </w:tc>
        <w:tc>
          <w:tcPr>
            <w:tcW w:type="dxa" w:w="850"/>
            <w:shd w:fill="E8EDF2" w:val="clear"/>
          </w:tcPr>
          <w:p>
            <w:r>
              <w:rPr>
                <w:b/>
                <w:sz w:val="18"/>
              </w:rPr>
              <w:t>MM</w:t>
            </w:r>
          </w:p>
        </w:tc>
      </w:tr>
      <w:tr>
        <w:tc>
          <w:tcPr>
            <w:tcW w:type="dxa" w:w="1417"/>
          </w:tcPr>
          <w:p>
            <w:r>
              <w:rPr>
                <w:sz w:val="18"/>
              </w:rPr>
              <w:t>ABCG2</w:t>
            </w:r>
          </w:p>
        </w:tc>
        <w:tc>
          <w:tcPr>
            <w:tcW w:type="dxa" w:w="850"/>
          </w:tcPr>
          <w:p>
            <w:r>
              <w:rPr>
                <w:sz w:val="18"/>
              </w:rPr>
              <w:t>2600</w:t>
            </w:r>
          </w:p>
        </w:tc>
        <w:tc>
          <w:tcPr>
            <w:tcW w:type="dxa" w:w="1417"/>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0</w:t>
            </w:r>
          </w:p>
        </w:tc>
      </w:tr>
      <w:tr>
        <w:tc>
          <w:tcPr>
            <w:tcW w:type="dxa" w:w="1417"/>
            <w:shd w:fill="F8F9FA" w:val="clear"/>
          </w:tcPr>
          <w:p>
            <w:r>
              <w:rPr>
                <w:sz w:val="18"/>
              </w:rPr>
              <w:t>CYP2B6</w:t>
            </w:r>
          </w:p>
        </w:tc>
        <w:tc>
          <w:tcPr>
            <w:tcW w:type="dxa" w:w="850"/>
            <w:shd w:fill="F8F9FA" w:val="clear"/>
          </w:tcPr>
          <w:p>
            <w:r>
              <w:rPr>
                <w:sz w:val="18"/>
              </w:rPr>
              <w:t>2600</w:t>
            </w:r>
          </w:p>
        </w:tc>
        <w:tc>
          <w:tcPr>
            <w:tcW w:type="dxa" w:w="1417"/>
            <w:shd w:fill="F8F9FA" w:val="clear"/>
          </w:tcPr>
          <w:p>
            <w:r>
              <w:rPr>
                <w:sz w:val="18"/>
              </w:rPr>
              <w:t>99.5%</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14</w:t>
            </w:r>
          </w:p>
        </w:tc>
      </w:tr>
      <w:tr>
        <w:tc>
          <w:tcPr>
            <w:tcW w:type="dxa" w:w="1417"/>
          </w:tcPr>
          <w:p>
            <w:r>
              <w:rPr>
                <w:sz w:val="18"/>
              </w:rPr>
              <w:t>CYP2C19</w:t>
            </w:r>
          </w:p>
        </w:tc>
        <w:tc>
          <w:tcPr>
            <w:tcW w:type="dxa" w:w="850"/>
          </w:tcPr>
          <w:p>
            <w:r>
              <w:rPr>
                <w:sz w:val="18"/>
              </w:rPr>
              <w:t>2600</w:t>
            </w:r>
          </w:p>
        </w:tc>
        <w:tc>
          <w:tcPr>
            <w:tcW w:type="dxa" w:w="1417"/>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0</w:t>
            </w:r>
          </w:p>
        </w:tc>
      </w:tr>
      <w:tr>
        <w:tc>
          <w:tcPr>
            <w:tcW w:type="dxa" w:w="1417"/>
            <w:shd w:fill="F8F9FA" w:val="clear"/>
          </w:tcPr>
          <w:p>
            <w:r>
              <w:rPr>
                <w:sz w:val="18"/>
              </w:rPr>
              <w:t>CYP2C9</w:t>
            </w:r>
          </w:p>
        </w:tc>
        <w:tc>
          <w:tcPr>
            <w:tcW w:type="dxa" w:w="850"/>
            <w:shd w:fill="F8F9FA" w:val="clear"/>
          </w:tcPr>
          <w:p>
            <w:r>
              <w:rPr>
                <w:sz w:val="18"/>
              </w:rPr>
              <w:t>2600</w:t>
            </w:r>
          </w:p>
        </w:tc>
        <w:tc>
          <w:tcPr>
            <w:tcW w:type="dxa" w:w="1417"/>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0</w:t>
            </w:r>
          </w:p>
        </w:tc>
      </w:tr>
      <w:tr>
        <w:tc>
          <w:tcPr>
            <w:tcW w:type="dxa" w:w="1417"/>
          </w:tcPr>
          <w:p>
            <w:r>
              <w:rPr>
                <w:sz w:val="18"/>
              </w:rPr>
              <w:t>CYP3A4</w:t>
            </w:r>
          </w:p>
        </w:tc>
        <w:tc>
          <w:tcPr>
            <w:tcW w:type="dxa" w:w="850"/>
          </w:tcPr>
          <w:p>
            <w:r>
              <w:rPr>
                <w:sz w:val="18"/>
              </w:rPr>
              <w:t>2600</w:t>
            </w:r>
          </w:p>
        </w:tc>
        <w:tc>
          <w:tcPr>
            <w:tcW w:type="dxa" w:w="1417"/>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0</w:t>
            </w:r>
          </w:p>
        </w:tc>
      </w:tr>
      <w:tr>
        <w:tc>
          <w:tcPr>
            <w:tcW w:type="dxa" w:w="1417"/>
            <w:shd w:fill="F8F9FA" w:val="clear"/>
          </w:tcPr>
          <w:p>
            <w:r>
              <w:rPr>
                <w:sz w:val="18"/>
              </w:rPr>
              <w:t>CYP3A5</w:t>
            </w:r>
          </w:p>
        </w:tc>
        <w:tc>
          <w:tcPr>
            <w:tcW w:type="dxa" w:w="850"/>
            <w:shd w:fill="F8F9FA" w:val="clear"/>
          </w:tcPr>
          <w:p>
            <w:r>
              <w:rPr>
                <w:sz w:val="18"/>
              </w:rPr>
              <w:t>2600</w:t>
            </w:r>
          </w:p>
        </w:tc>
        <w:tc>
          <w:tcPr>
            <w:tcW w:type="dxa" w:w="1417"/>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0</w:t>
            </w:r>
          </w:p>
        </w:tc>
      </w:tr>
      <w:tr>
        <w:tc>
          <w:tcPr>
            <w:tcW w:type="dxa" w:w="1417"/>
          </w:tcPr>
          <w:p>
            <w:r>
              <w:rPr>
                <w:sz w:val="18"/>
              </w:rPr>
              <w:t>DPYD</w:t>
            </w:r>
          </w:p>
        </w:tc>
        <w:tc>
          <w:tcPr>
            <w:tcW w:type="dxa" w:w="850"/>
          </w:tcPr>
          <w:p>
            <w:r>
              <w:rPr>
                <w:sz w:val="18"/>
              </w:rPr>
              <w:t>2600</w:t>
            </w:r>
          </w:p>
        </w:tc>
        <w:tc>
          <w:tcPr>
            <w:tcW w:type="dxa" w:w="1417"/>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0</w:t>
            </w:r>
          </w:p>
        </w:tc>
      </w:tr>
      <w:tr>
        <w:tc>
          <w:tcPr>
            <w:tcW w:type="dxa" w:w="1417"/>
            <w:shd w:fill="F8F9FA" w:val="clear"/>
          </w:tcPr>
          <w:p>
            <w:r>
              <w:rPr>
                <w:sz w:val="18"/>
              </w:rPr>
              <w:t>IFNL3</w:t>
            </w:r>
          </w:p>
        </w:tc>
        <w:tc>
          <w:tcPr>
            <w:tcW w:type="dxa" w:w="850"/>
            <w:shd w:fill="F8F9FA" w:val="clear"/>
          </w:tcPr>
          <w:p>
            <w:r>
              <w:rPr>
                <w:sz w:val="18"/>
              </w:rPr>
              <w:t>2600</w:t>
            </w:r>
          </w:p>
        </w:tc>
        <w:tc>
          <w:tcPr>
            <w:tcW w:type="dxa" w:w="1417"/>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0</w:t>
            </w:r>
          </w:p>
        </w:tc>
      </w:tr>
      <w:tr>
        <w:tc>
          <w:tcPr>
            <w:tcW w:type="dxa" w:w="1417"/>
          </w:tcPr>
          <w:p>
            <w:r>
              <w:rPr>
                <w:sz w:val="18"/>
              </w:rPr>
              <w:t>NUDT15</w:t>
            </w:r>
          </w:p>
        </w:tc>
        <w:tc>
          <w:tcPr>
            <w:tcW w:type="dxa" w:w="850"/>
          </w:tcPr>
          <w:p>
            <w:r>
              <w:rPr>
                <w:sz w:val="18"/>
              </w:rPr>
              <w:t>2600</w:t>
            </w:r>
          </w:p>
        </w:tc>
        <w:tc>
          <w:tcPr>
            <w:tcW w:type="dxa" w:w="1417"/>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0.000</w:t>
            </w:r>
          </w:p>
        </w:tc>
        <w:tc>
          <w:tcPr>
            <w:tcW w:type="dxa" w:w="850"/>
          </w:tcPr>
          <w:p>
            <w:r>
              <w:rPr>
                <w:sz w:val="18"/>
              </w:rPr>
              <w:t>1.000</w:t>
            </w:r>
          </w:p>
        </w:tc>
        <w:tc>
          <w:tcPr>
            <w:tcW w:type="dxa" w:w="850"/>
          </w:tcPr>
          <w:p>
            <w:r>
              <w:rPr>
                <w:sz w:val="18"/>
              </w:rPr>
              <w:t>0</w:t>
            </w:r>
          </w:p>
        </w:tc>
      </w:tr>
      <w:tr>
        <w:tc>
          <w:tcPr>
            <w:tcW w:type="dxa" w:w="1417"/>
            <w:shd w:fill="F8F9FA" w:val="clear"/>
          </w:tcPr>
          <w:p>
            <w:r>
              <w:rPr>
                <w:sz w:val="18"/>
              </w:rPr>
              <w:t>SLCO1B1</w:t>
            </w:r>
          </w:p>
        </w:tc>
        <w:tc>
          <w:tcPr>
            <w:tcW w:type="dxa" w:w="850"/>
            <w:shd w:fill="F8F9FA" w:val="clear"/>
          </w:tcPr>
          <w:p>
            <w:r>
              <w:rPr>
                <w:sz w:val="18"/>
              </w:rPr>
              <w:t>2600</w:t>
            </w:r>
          </w:p>
        </w:tc>
        <w:tc>
          <w:tcPr>
            <w:tcW w:type="dxa" w:w="1417"/>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0</w:t>
            </w:r>
          </w:p>
        </w:tc>
      </w:tr>
      <w:tr>
        <w:tc>
          <w:tcPr>
            <w:tcW w:type="dxa" w:w="1417"/>
          </w:tcPr>
          <w:p>
            <w:r>
              <w:rPr>
                <w:sz w:val="18"/>
              </w:rPr>
              <w:t>TPMT</w:t>
            </w:r>
          </w:p>
        </w:tc>
        <w:tc>
          <w:tcPr>
            <w:tcW w:type="dxa" w:w="850"/>
          </w:tcPr>
          <w:p>
            <w:r>
              <w:rPr>
                <w:sz w:val="18"/>
              </w:rPr>
              <w:t>2600</w:t>
            </w:r>
          </w:p>
        </w:tc>
        <w:tc>
          <w:tcPr>
            <w:tcW w:type="dxa" w:w="1417"/>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0</w:t>
            </w:r>
          </w:p>
        </w:tc>
      </w:tr>
      <w:tr>
        <w:tc>
          <w:tcPr>
            <w:tcW w:type="dxa" w:w="1417"/>
            <w:shd w:fill="F8F9FA" w:val="clear"/>
          </w:tcPr>
          <w:p>
            <w:r>
              <w:rPr>
                <w:sz w:val="18"/>
              </w:rPr>
              <w:t>UGT1A1</w:t>
            </w:r>
          </w:p>
        </w:tc>
        <w:tc>
          <w:tcPr>
            <w:tcW w:type="dxa" w:w="850"/>
            <w:shd w:fill="F8F9FA" w:val="clear"/>
          </w:tcPr>
          <w:p>
            <w:r>
              <w:rPr>
                <w:sz w:val="18"/>
              </w:rPr>
              <w:t>2600</w:t>
            </w:r>
          </w:p>
        </w:tc>
        <w:tc>
          <w:tcPr>
            <w:tcW w:type="dxa" w:w="1417"/>
            <w:shd w:fill="F8F9FA" w:val="clear"/>
          </w:tcPr>
          <w:p>
            <w:r>
              <w:rPr>
                <w:sz w:val="18"/>
              </w:rPr>
              <w:t>96.5%</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1.000</w:t>
            </w:r>
          </w:p>
        </w:tc>
        <w:tc>
          <w:tcPr>
            <w:tcW w:type="dxa" w:w="850"/>
            <w:shd w:fill="F8F9FA" w:val="clear"/>
          </w:tcPr>
          <w:p>
            <w:r>
              <w:rPr>
                <w:sz w:val="18"/>
              </w:rPr>
              <w:t>91</w:t>
            </w:r>
          </w:p>
        </w:tc>
      </w:tr>
      <w:tr>
        <w:tc>
          <w:tcPr>
            <w:tcW w:type="dxa" w:w="1417"/>
          </w:tcPr>
          <w:p>
            <w:r>
              <w:rPr>
                <w:sz w:val="18"/>
              </w:rPr>
              <w:t>VKORC1</w:t>
            </w:r>
          </w:p>
        </w:tc>
        <w:tc>
          <w:tcPr>
            <w:tcW w:type="dxa" w:w="850"/>
          </w:tcPr>
          <w:p>
            <w:r>
              <w:rPr>
                <w:sz w:val="18"/>
              </w:rPr>
              <w:t>2600</w:t>
            </w:r>
          </w:p>
        </w:tc>
        <w:tc>
          <w:tcPr>
            <w:tcW w:type="dxa" w:w="1417"/>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1.000</w:t>
            </w:r>
          </w:p>
        </w:tc>
        <w:tc>
          <w:tcPr>
            <w:tcW w:type="dxa" w:w="850"/>
          </w:tcPr>
          <w:p>
            <w:r>
              <w:rPr>
                <w:sz w:val="18"/>
              </w:rPr>
              <w:t>0</w:t>
            </w:r>
          </w:p>
        </w:tc>
      </w:tr>
    </w:tbl>
    <w:p>
      <w:pPr>
        <w:spacing w:after="120"/>
      </w:pPr>
      <w:r>
        <w:rPr>
          <w:b w:val="0"/>
          <w:i w:val="0"/>
          <w:sz w:val="8"/>
        </w:rPr>
      </w:r>
    </w:p>
    <w:p>
      <w:pPr>
        <w:pStyle w:val="Heading2"/>
      </w:pPr>
      <w:r>
        <w:rPr>
          <w:color w:val="000000"/>
        </w:rPr>
        <w:t>3.4 Cross-Population Analysis</w:t>
      </w:r>
    </w:p>
    <w:p>
      <w:pPr>
        <w:spacing w:after="80"/>
      </w:pPr>
      <w:r>
        <w:rPr>
          <w:b/>
          <w:i/>
          <w:sz w:val="18"/>
        </w:rPr>
        <w:t>Table 5. Concordance by superpopulation (GenomeGuard vs PharmCAT).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fill="E8EDF2" w:val="clear"/>
          </w:tcPr>
          <w:p>
            <w:r>
              <w:rPr>
                <w:b/>
                <w:sz w:val="18"/>
              </w:rPr>
              <w:t>Code</w:t>
            </w:r>
          </w:p>
        </w:tc>
        <w:tc>
          <w:tcPr>
            <w:tcW w:type="dxa" w:w="2835"/>
            <w:shd w:fill="E8EDF2" w:val="clear"/>
          </w:tcPr>
          <w:p>
            <w:r>
              <w:rPr>
                <w:b/>
                <w:sz w:val="18"/>
              </w:rPr>
              <w:t>Superpopulation</w:t>
            </w:r>
          </w:p>
        </w:tc>
        <w:tc>
          <w:tcPr>
            <w:tcW w:type="dxa" w:w="1701"/>
            <w:shd w:fill="E8EDF2" w:val="clear"/>
          </w:tcPr>
          <w:p>
            <w:r>
              <w:rPr>
                <w:b/>
                <w:sz w:val="18"/>
              </w:rPr>
              <w:t>N (gene-sample)</w:t>
            </w:r>
          </w:p>
        </w:tc>
        <w:tc>
          <w:tcPr>
            <w:tcW w:type="dxa" w:w="2268"/>
            <w:shd w:fill="E8EDF2" w:val="clear"/>
          </w:tcPr>
          <w:p>
            <w:r>
              <w:rPr>
                <w:b/>
                <w:sz w:val="18"/>
              </w:rPr>
              <w:t>Weighted Concordance</w:t>
            </w:r>
          </w:p>
        </w:tc>
      </w:tr>
      <w:tr>
        <w:tc>
          <w:tcPr>
            <w:tcW w:type="dxa" w:w="1134"/>
          </w:tcPr>
          <w:p>
            <w:r>
              <w:rPr>
                <w:sz w:val="18"/>
              </w:rPr>
              <w:t>AFR</w:t>
            </w:r>
          </w:p>
        </w:tc>
        <w:tc>
          <w:tcPr>
            <w:tcW w:type="dxa" w:w="2835"/>
          </w:tcPr>
          <w:p>
            <w:r>
              <w:rPr>
                <w:sz w:val="18"/>
              </w:rPr>
              <w:t>African</w:t>
            </w:r>
          </w:p>
        </w:tc>
        <w:tc>
          <w:tcPr>
            <w:tcW w:type="dxa" w:w="1701"/>
          </w:tcPr>
          <w:p>
            <w:r>
              <w:rPr>
                <w:sz w:val="18"/>
              </w:rPr>
              <w:t>11609</w:t>
            </w:r>
          </w:p>
        </w:tc>
        <w:tc>
          <w:tcPr>
            <w:tcW w:type="dxa" w:w="2268"/>
          </w:tcPr>
          <w:p>
            <w:r>
              <w:rPr>
                <w:sz w:val="18"/>
              </w:rPr>
              <w:t>99.12%</w:t>
            </w:r>
          </w:p>
        </w:tc>
      </w:tr>
      <w:tr>
        <w:tc>
          <w:tcPr>
            <w:tcW w:type="dxa" w:w="1134"/>
            <w:shd w:fill="F8F9FA" w:val="clear"/>
          </w:tcPr>
          <w:p>
            <w:r>
              <w:rPr>
                <w:sz w:val="18"/>
              </w:rPr>
              <w:t>AMR</w:t>
            </w:r>
          </w:p>
        </w:tc>
        <w:tc>
          <w:tcPr>
            <w:tcW w:type="dxa" w:w="2835"/>
            <w:shd w:fill="F8F9FA" w:val="clear"/>
          </w:tcPr>
          <w:p>
            <w:r>
              <w:rPr>
                <w:sz w:val="18"/>
              </w:rPr>
              <w:t>Admixed American</w:t>
            </w:r>
          </w:p>
        </w:tc>
        <w:tc>
          <w:tcPr>
            <w:tcW w:type="dxa" w:w="1701"/>
            <w:shd w:fill="F8F9FA" w:val="clear"/>
          </w:tcPr>
          <w:p>
            <w:r>
              <w:rPr>
                <w:sz w:val="18"/>
              </w:rPr>
              <w:t>6370</w:t>
            </w:r>
          </w:p>
        </w:tc>
        <w:tc>
          <w:tcPr>
            <w:tcW w:type="dxa" w:w="2268"/>
            <w:shd w:fill="F8F9FA" w:val="clear"/>
          </w:tcPr>
          <w:p>
            <w:r>
              <w:rPr>
                <w:sz w:val="18"/>
              </w:rPr>
              <w:t>99.95%</w:t>
            </w:r>
          </w:p>
        </w:tc>
      </w:tr>
      <w:tr>
        <w:tc>
          <w:tcPr>
            <w:tcW w:type="dxa" w:w="1134"/>
          </w:tcPr>
          <w:p>
            <w:r>
              <w:rPr>
                <w:sz w:val="18"/>
              </w:rPr>
              <w:t>EAS</w:t>
            </w:r>
          </w:p>
        </w:tc>
        <w:tc>
          <w:tcPr>
            <w:tcW w:type="dxa" w:w="2835"/>
          </w:tcPr>
          <w:p>
            <w:r>
              <w:rPr>
                <w:sz w:val="18"/>
              </w:rPr>
              <w:t>East Asian</w:t>
            </w:r>
          </w:p>
        </w:tc>
        <w:tc>
          <w:tcPr>
            <w:tcW w:type="dxa" w:w="1701"/>
          </w:tcPr>
          <w:p>
            <w:r>
              <w:rPr>
                <w:sz w:val="18"/>
              </w:rPr>
              <w:t>7605</w:t>
            </w:r>
          </w:p>
        </w:tc>
        <w:tc>
          <w:tcPr>
            <w:tcW w:type="dxa" w:w="2268"/>
          </w:tcPr>
          <w:p>
            <w:r>
              <w:rPr>
                <w:sz w:val="18"/>
              </w:rPr>
              <w:t>100.00%</w:t>
            </w:r>
          </w:p>
        </w:tc>
      </w:tr>
      <w:tr>
        <w:tc>
          <w:tcPr>
            <w:tcW w:type="dxa" w:w="1134"/>
            <w:shd w:fill="F8F9FA" w:val="clear"/>
          </w:tcPr>
          <w:p>
            <w:r>
              <w:rPr>
                <w:sz w:val="18"/>
              </w:rPr>
              <w:t>EUR</w:t>
            </w:r>
          </w:p>
        </w:tc>
        <w:tc>
          <w:tcPr>
            <w:tcW w:type="dxa" w:w="2835"/>
            <w:shd w:fill="F8F9FA" w:val="clear"/>
          </w:tcPr>
          <w:p>
            <w:r>
              <w:rPr>
                <w:sz w:val="18"/>
              </w:rPr>
              <w:t>European</w:t>
            </w:r>
          </w:p>
        </w:tc>
        <w:tc>
          <w:tcPr>
            <w:tcW w:type="dxa" w:w="1701"/>
            <w:shd w:fill="F8F9FA" w:val="clear"/>
          </w:tcPr>
          <w:p>
            <w:r>
              <w:rPr>
                <w:sz w:val="18"/>
              </w:rPr>
              <w:t>8216</w:t>
            </w:r>
          </w:p>
        </w:tc>
        <w:tc>
          <w:tcPr>
            <w:tcW w:type="dxa" w:w="2268"/>
            <w:shd w:fill="F8F9FA" w:val="clear"/>
          </w:tcPr>
          <w:p>
            <w:r>
              <w:rPr>
                <w:sz w:val="18"/>
              </w:rPr>
              <w:t>100.00%</w:t>
            </w:r>
          </w:p>
        </w:tc>
      </w:tr>
    </w:tbl>
    <w:p>
      <w:pPr>
        <w:spacing w:after="120"/>
      </w:pPr>
      <w:r>
        <w:rPr>
          <w:b w:val="0"/>
          <w:i w:val="0"/>
          <w:sz w:val="8"/>
        </w:rPr>
      </w:r>
    </w:p>
    <w:p>
      <w:pPr>
        <w:pStyle w:val="Heading2"/>
      </w:pPr>
      <w:r>
        <w:rPr>
          <w:color w:val="000000"/>
        </w:rPr>
        <w:t>3.5 Error Analysis</w:t>
      </w:r>
    </w:p>
    <w:p>
      <w:pPr>
        <w:spacing w:after="80"/>
      </w:pPr>
      <w:r>
        <w:rPr>
          <w:b/>
          <w:i/>
          <w:sz w:val="18"/>
        </w:rPr>
        <w:t>Table 6. Mismatch triage across all tool pairs (262 total discordant calls).</w:t>
      </w:r>
    </w:p>
    <w:tbl>
      <w:tblPr>
        <w:tblStyle w:val="TableGrid"/>
        <w:tblW w:type="auto" w:w="0"/>
        <w:jc w:val="center"/>
        <w:tblLook w:firstColumn="1" w:firstRow="1" w:lastColumn="0" w:lastRow="0" w:noHBand="0" w:noVBand="1" w:val="04A0"/>
      </w:tblPr>
      <w:tblGrid>
        <w:gridCol w:w="3120"/>
        <w:gridCol w:w="3120"/>
        <w:gridCol w:w="3120"/>
      </w:tblGrid>
      <w:tr>
        <w:tc>
          <w:tcPr>
            <w:tcW w:type="dxa" w:w="3402"/>
            <w:shd w:fill="E8EDF2" w:val="clear"/>
          </w:tcPr>
          <w:p>
            <w:r>
              <w:rPr>
                <w:b/>
                <w:sz w:val="18"/>
              </w:rPr>
              <w:t>Triage Category</w:t>
            </w:r>
          </w:p>
        </w:tc>
        <w:tc>
          <w:tcPr>
            <w:tcW w:type="dxa" w:w="1701"/>
            <w:shd w:fill="E8EDF2" w:val="clear"/>
          </w:tcPr>
          <w:p>
            <w:r>
              <w:rPr>
                <w:b/>
                <w:sz w:val="18"/>
              </w:rPr>
              <w:t>Count</w:t>
            </w:r>
          </w:p>
        </w:tc>
        <w:tc>
          <w:tcPr>
            <w:tcW w:type="dxa" w:w="1701"/>
            <w:shd w:fill="E8EDF2" w:val="clear"/>
          </w:tcPr>
          <w:p>
            <w:r>
              <w:rPr>
                <w:b/>
                <w:sz w:val="18"/>
              </w:rPr>
              <w:t>Percentage</w:t>
            </w:r>
          </w:p>
        </w:tc>
      </w:tr>
      <w:tr>
        <w:tc>
          <w:tcPr>
            <w:tcW w:type="dxa" w:w="3402"/>
          </w:tcPr>
          <w:p>
            <w:r>
              <w:rPr>
                <w:sz w:val="18"/>
              </w:rPr>
              <w:t>Allele Definition Version</w:t>
            </w:r>
          </w:p>
        </w:tc>
        <w:tc>
          <w:tcPr>
            <w:tcW w:type="dxa" w:w="1701"/>
          </w:tcPr>
          <w:p>
            <w:r>
              <w:rPr>
                <w:sz w:val="18"/>
              </w:rPr>
              <w:t>104</w:t>
            </w:r>
          </w:p>
        </w:tc>
        <w:tc>
          <w:tcPr>
            <w:tcW w:type="dxa" w:w="1701"/>
          </w:tcPr>
          <w:p>
            <w:r>
              <w:rPr>
                <w:sz w:val="18"/>
              </w:rPr>
              <w:t>39.7%</w:t>
            </w:r>
          </w:p>
        </w:tc>
      </w:tr>
      <w:tr>
        <w:tc>
          <w:tcPr>
            <w:tcW w:type="dxa" w:w="3402"/>
            <w:shd w:fill="F8F9FA" w:val="clear"/>
          </w:tcPr>
          <w:p>
            <w:r>
              <w:rPr>
                <w:sz w:val="18"/>
              </w:rPr>
              <w:t>Logic Difference</w:t>
            </w:r>
          </w:p>
        </w:tc>
        <w:tc>
          <w:tcPr>
            <w:tcW w:type="dxa" w:w="1701"/>
            <w:shd w:fill="F8F9FA" w:val="clear"/>
          </w:tcPr>
          <w:p>
            <w:r>
              <w:rPr>
                <w:sz w:val="18"/>
              </w:rPr>
              <w:t>23</w:t>
            </w:r>
          </w:p>
        </w:tc>
        <w:tc>
          <w:tcPr>
            <w:tcW w:type="dxa" w:w="1701"/>
            <w:shd w:fill="F8F9FA" w:val="clear"/>
          </w:tcPr>
          <w:p>
            <w:r>
              <w:rPr>
                <w:sz w:val="18"/>
              </w:rPr>
              <w:t>8.8%</w:t>
            </w:r>
          </w:p>
        </w:tc>
      </w:tr>
      <w:tr>
        <w:tc>
          <w:tcPr>
            <w:tcW w:type="dxa" w:w="3402"/>
          </w:tcPr>
          <w:p>
            <w:r>
              <w:rPr>
                <w:sz w:val="18"/>
              </w:rPr>
              <w:t>Missing Coverage</w:t>
            </w:r>
          </w:p>
        </w:tc>
        <w:tc>
          <w:tcPr>
            <w:tcW w:type="dxa" w:w="1701"/>
          </w:tcPr>
          <w:p>
            <w:r>
              <w:rPr>
                <w:sz w:val="18"/>
              </w:rPr>
              <w:t>135</w:t>
            </w:r>
          </w:p>
        </w:tc>
        <w:tc>
          <w:tcPr>
            <w:tcW w:type="dxa" w:w="1701"/>
          </w:tcPr>
          <w:p>
            <w:r>
              <w:rPr>
                <w:sz w:val="18"/>
              </w:rPr>
              <w:t>51.5%</w:t>
            </w:r>
          </w:p>
        </w:tc>
      </w:tr>
    </w:tbl>
    <w:p>
      <w:pPr>
        <w:spacing w:after="120"/>
      </w:pPr>
      <w:r>
        <w:rPr>
          <w:b w:val="0"/>
          <w:i w:val="0"/>
          <w:sz w:val="8"/>
        </w:rPr>
      </w:r>
    </w:p>
    <w:p>
      <w:pPr>
        <w:pStyle w:val="Heading2"/>
      </w:pPr>
      <w:r>
        <w:rPr>
          <w:color w:val="000000"/>
        </w:rPr>
        <w:t>3.6 Computational Performance</w:t>
      </w:r>
    </w:p>
    <w:p>
      <w:pPr>
        <w:spacing w:after="80"/>
      </w:pPr>
      <w:r>
        <w:rPr>
          <w:b/>
          <w:i/>
          <w:sz w:val="18"/>
        </w:rPr>
        <w:t>Table 7. Computational performance comparison.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17"/>
            <w:shd w:fill="E8EDF2" w:val="clear"/>
          </w:tcPr>
          <w:p>
            <w:r>
              <w:rPr>
                <w:b/>
                <w:sz w:val="18"/>
              </w:rPr>
              <w:t>Tool</w:t>
            </w:r>
          </w:p>
        </w:tc>
        <w:tc>
          <w:tcPr>
            <w:tcW w:type="dxa" w:w="1134"/>
            <w:shd w:fill="E8EDF2" w:val="clear"/>
          </w:tcPr>
          <w:p>
            <w:r>
              <w:rPr>
                <w:b/>
                <w:sz w:val="18"/>
              </w:rPr>
              <w:t>Total Time</w:t>
            </w:r>
          </w:p>
        </w:tc>
        <w:tc>
          <w:tcPr>
            <w:tcW w:type="dxa" w:w="1134"/>
            <w:shd w:fill="E8EDF2" w:val="clear"/>
          </w:tcPr>
          <w:p>
            <w:r>
              <w:rPr>
                <w:b/>
                <w:sz w:val="18"/>
              </w:rPr>
              <w:t>Samp/s</w:t>
            </w:r>
          </w:p>
        </w:tc>
        <w:tc>
          <w:tcPr>
            <w:tcW w:type="dxa" w:w="1134"/>
            <w:shd w:fill="E8EDF2" w:val="clear"/>
          </w:tcPr>
          <w:p>
            <w:r>
              <w:rPr>
                <w:b/>
                <w:sz w:val="18"/>
              </w:rPr>
              <w:t>Mean (ms)</w:t>
            </w:r>
          </w:p>
        </w:tc>
        <w:tc>
          <w:tcPr>
            <w:tcW w:type="dxa" w:w="1134"/>
            <w:shd w:fill="E8EDF2" w:val="clear"/>
          </w:tcPr>
          <w:p>
            <w:r>
              <w:rPr>
                <w:b/>
                <w:sz w:val="18"/>
              </w:rPr>
              <w:t>P95 (ms)</w:t>
            </w:r>
          </w:p>
        </w:tc>
        <w:tc>
          <w:tcPr>
            <w:tcW w:type="dxa" w:w="1417"/>
            <w:shd w:fill="E8EDF2" w:val="clear"/>
          </w:tcPr>
          <w:p>
            <w:r>
              <w:rPr>
                <w:b/>
                <w:sz w:val="18"/>
              </w:rPr>
              <w:t>Peak Mem (KB)</w:t>
            </w:r>
          </w:p>
        </w:tc>
        <w:tc>
          <w:tcPr>
            <w:tcW w:type="dxa" w:w="1134"/>
            <w:shd w:fill="E8EDF2" w:val="clear"/>
          </w:tcPr>
          <w:p>
            <w:r>
              <w:rPr>
                <w:b/>
                <w:sz w:val="18"/>
              </w:rPr>
              <w:t>Speedup</w:t>
            </w:r>
          </w:p>
        </w:tc>
      </w:tr>
      <w:tr>
        <w:tc>
          <w:tcPr>
            <w:tcW w:type="dxa" w:w="1417"/>
          </w:tcPr>
          <w:p>
            <w:r>
              <w:rPr>
                <w:sz w:val="18"/>
              </w:rPr>
              <w:t>GenomeGuard</w:t>
            </w:r>
          </w:p>
        </w:tc>
        <w:tc>
          <w:tcPr>
            <w:tcW w:type="dxa" w:w="1134"/>
          </w:tcPr>
          <w:p>
            <w:r>
              <w:rPr>
                <w:sz w:val="18"/>
              </w:rPr>
              <w:t>184.6s</w:t>
            </w:r>
          </w:p>
        </w:tc>
        <w:tc>
          <w:tcPr>
            <w:tcW w:type="dxa" w:w="1134"/>
          </w:tcPr>
          <w:p>
            <w:r>
              <w:rPr>
                <w:sz w:val="18"/>
              </w:rPr>
              <w:t>14.1</w:t>
            </w:r>
          </w:p>
        </w:tc>
        <w:tc>
          <w:tcPr>
            <w:tcW w:type="dxa" w:w="1134"/>
          </w:tcPr>
          <w:p>
            <w:r>
              <w:rPr>
                <w:sz w:val="18"/>
              </w:rPr>
              <w:t>63.7</w:t>
            </w:r>
          </w:p>
        </w:tc>
        <w:tc>
          <w:tcPr>
            <w:tcW w:type="dxa" w:w="1134"/>
          </w:tcPr>
          <w:p>
            <w:r>
              <w:rPr>
                <w:sz w:val="18"/>
              </w:rPr>
              <w:t>76.7</w:t>
            </w:r>
          </w:p>
        </w:tc>
        <w:tc>
          <w:tcPr>
            <w:tcW w:type="dxa" w:w="1417"/>
          </w:tcPr>
          <w:p>
            <w:r>
              <w:rPr>
                <w:sz w:val="18"/>
              </w:rPr>
              <w:t>489</w:t>
            </w:r>
          </w:p>
        </w:tc>
        <w:tc>
          <w:tcPr>
            <w:tcW w:type="dxa" w:w="1134"/>
          </w:tcPr>
          <w:p>
            <w:r>
              <w:rPr>
                <w:sz w:val="18"/>
              </w:rPr>
              <w:t>—</w:t>
            </w:r>
          </w:p>
        </w:tc>
      </w:tr>
      <w:tr>
        <w:tc>
          <w:tcPr>
            <w:tcW w:type="dxa" w:w="1417"/>
            <w:shd w:fill="F8F9FA" w:val="clear"/>
          </w:tcPr>
          <w:p>
            <w:r>
              <w:rPr>
                <w:sz w:val="18"/>
              </w:rPr>
              <w:t>PharmCAT</w:t>
            </w:r>
          </w:p>
        </w:tc>
        <w:tc>
          <w:tcPr>
            <w:tcW w:type="dxa" w:w="1134"/>
            <w:shd w:fill="F8F9FA" w:val="clear"/>
          </w:tcPr>
          <w:p>
            <w:r>
              <w:rPr>
                <w:sz w:val="18"/>
              </w:rPr>
              <w:t>10417.7s</w:t>
            </w:r>
          </w:p>
        </w:tc>
        <w:tc>
          <w:tcPr>
            <w:tcW w:type="dxa" w:w="1134"/>
            <w:shd w:fill="F8F9FA" w:val="clear"/>
          </w:tcPr>
          <w:p>
            <w:r>
              <w:rPr>
                <w:sz w:val="18"/>
              </w:rPr>
              <w:t>0.2</w:t>
            </w:r>
          </w:p>
        </w:tc>
        <w:tc>
          <w:tcPr>
            <w:tcW w:type="dxa" w:w="1134"/>
            <w:shd w:fill="F8F9FA" w:val="clear"/>
          </w:tcPr>
          <w:p>
            <w:r>
              <w:rPr>
                <w:sz w:val="18"/>
              </w:rPr>
              <w:t>0.3</w:t>
            </w:r>
          </w:p>
        </w:tc>
        <w:tc>
          <w:tcPr>
            <w:tcW w:type="dxa" w:w="1134"/>
            <w:shd w:fill="F8F9FA" w:val="clear"/>
          </w:tcPr>
          <w:p>
            <w:r>
              <w:rPr>
                <w:sz w:val="18"/>
              </w:rPr>
              <w:t>0.3</w:t>
            </w:r>
          </w:p>
        </w:tc>
        <w:tc>
          <w:tcPr>
            <w:tcW w:type="dxa" w:w="1417"/>
            <w:shd w:fill="F8F9FA" w:val="clear"/>
          </w:tcPr>
          <w:p>
            <w:r>
              <w:rPr>
                <w:sz w:val="18"/>
              </w:rPr>
              <w:t>0</w:t>
            </w:r>
          </w:p>
        </w:tc>
        <w:tc>
          <w:tcPr>
            <w:tcW w:type="dxa" w:w="1134"/>
            <w:shd w:fill="F8F9FA" w:val="clear"/>
          </w:tcPr>
          <w:p>
            <w:r>
              <w:rPr>
                <w:sz w:val="18"/>
              </w:rPr>
              <w:t>56×</w:t>
            </w:r>
          </w:p>
        </w:tc>
      </w:tr>
      <w:tr>
        <w:tc>
          <w:tcPr>
            <w:tcW w:type="dxa" w:w="1417"/>
          </w:tcPr>
          <w:p>
            <w:r>
              <w:rPr>
                <w:sz w:val="18"/>
              </w:rPr>
              <w:t>Aldy</w:t>
            </w:r>
          </w:p>
        </w:tc>
        <w:tc>
          <w:tcPr>
            <w:tcW w:type="dxa" w:w="1134"/>
          </w:tcPr>
          <w:p>
            <w:r>
              <w:rPr>
                <w:sz w:val="18"/>
              </w:rPr>
              <w:t>5.4s</w:t>
            </w:r>
          </w:p>
        </w:tc>
        <w:tc>
          <w:tcPr>
            <w:tcW w:type="dxa" w:w="1134"/>
          </w:tcPr>
          <w:p>
            <w:r>
              <w:rPr>
                <w:sz w:val="18"/>
              </w:rPr>
              <w:t>3.7</w:t>
            </w:r>
          </w:p>
        </w:tc>
        <w:tc>
          <w:tcPr>
            <w:tcW w:type="dxa" w:w="1134"/>
          </w:tcPr>
          <w:p>
            <w:r>
              <w:rPr>
                <w:sz w:val="18"/>
              </w:rPr>
              <w:t>202.0</w:t>
            </w:r>
          </w:p>
        </w:tc>
        <w:tc>
          <w:tcPr>
            <w:tcW w:type="dxa" w:w="1134"/>
          </w:tcPr>
          <w:p>
            <w:r>
              <w:rPr>
                <w:sz w:val="18"/>
              </w:rPr>
              <w:t>210.1</w:t>
            </w:r>
          </w:p>
        </w:tc>
        <w:tc>
          <w:tcPr>
            <w:tcW w:type="dxa" w:w="1417"/>
          </w:tcPr>
          <w:p>
            <w:r>
              <w:rPr>
                <w:sz w:val="18"/>
              </w:rPr>
              <w:t>0</w:t>
            </w:r>
          </w:p>
        </w:tc>
        <w:tc>
          <w:tcPr>
            <w:tcW w:type="dxa" w:w="1134"/>
          </w:tcPr>
          <w:p>
            <w:r>
              <w:rPr>
                <w:sz w:val="18"/>
              </w:rPr>
              <w:t>0×</w:t>
            </w:r>
          </w:p>
        </w:tc>
      </w:tr>
      <w:tr>
        <w:tc>
          <w:tcPr>
            <w:tcW w:type="dxa" w:w="1417"/>
            <w:shd w:fill="F8F9FA" w:val="clear"/>
          </w:tcPr>
          <w:p>
            <w:r>
              <w:rPr>
                <w:sz w:val="18"/>
              </w:rPr>
              <w:t>PyPGx</w:t>
            </w:r>
          </w:p>
        </w:tc>
        <w:tc>
          <w:tcPr>
            <w:tcW w:type="dxa" w:w="1134"/>
            <w:shd w:fill="F8F9FA" w:val="clear"/>
          </w:tcPr>
          <w:p>
            <w:r>
              <w:rPr>
                <w:sz w:val="18"/>
              </w:rPr>
              <w:t>1.5s</w:t>
            </w:r>
          </w:p>
        </w:tc>
        <w:tc>
          <w:tcPr>
            <w:tcW w:type="dxa" w:w="1134"/>
            <w:shd w:fill="F8F9FA" w:val="clear"/>
          </w:tcPr>
          <w:p>
            <w:r>
              <w:rPr>
                <w:sz w:val="18"/>
              </w:rPr>
              <w:t>13.3</w:t>
            </w:r>
          </w:p>
        </w:tc>
        <w:tc>
          <w:tcPr>
            <w:tcW w:type="dxa" w:w="1134"/>
            <w:shd w:fill="F8F9FA" w:val="clear"/>
          </w:tcPr>
          <w:p>
            <w:r>
              <w:rPr>
                <w:sz w:val="18"/>
              </w:rPr>
              <w:t>0.5</w:t>
            </w:r>
          </w:p>
        </w:tc>
        <w:tc>
          <w:tcPr>
            <w:tcW w:type="dxa" w:w="1134"/>
            <w:shd w:fill="F8F9FA" w:val="clear"/>
          </w:tcPr>
          <w:p>
            <w:r>
              <w:rPr>
                <w:sz w:val="18"/>
              </w:rPr>
              <w:t>0.7</w:t>
            </w:r>
          </w:p>
        </w:tc>
        <w:tc>
          <w:tcPr>
            <w:tcW w:type="dxa" w:w="1417"/>
            <w:shd w:fill="F8F9FA" w:val="clear"/>
          </w:tcPr>
          <w:p>
            <w:r>
              <w:rPr>
                <w:sz w:val="18"/>
              </w:rPr>
              <w:t>0</w:t>
            </w:r>
          </w:p>
        </w:tc>
        <w:tc>
          <w:tcPr>
            <w:tcW w:type="dxa" w:w="1134"/>
            <w:shd w:fill="F8F9FA" w:val="clear"/>
          </w:tcPr>
          <w:p>
            <w:r>
              <w:rPr>
                <w:sz w:val="18"/>
              </w:rPr>
              <w:t>0×</w:t>
            </w:r>
          </w:p>
        </w:tc>
      </w:tr>
    </w:tbl>
    <w:p>
      <w:pPr>
        <w:spacing w:after="120"/>
      </w:pPr>
      <w:r>
        <w:rPr>
          <w:b w:val="0"/>
          <w:i w:val="0"/>
          <w:sz w:val="8"/>
        </w:rPr>
      </w:r>
    </w:p>
    <w:p>
      <w:pPr>
        <w:pStyle w:val="Heading1"/>
      </w:pPr>
      <w:r>
        <w:rPr>
          <w:color w:val="000000"/>
        </w:rPr>
        <w:t>4. Discussion</w:t>
      </w:r>
    </w:p>
    <w:p>
      <w:pPr>
        <w:spacing w:after="120"/>
      </w:pPr>
      <w:r>
        <w:rPr>
          <w:b w:val="0"/>
          <w:i w:val="0"/>
          <w:sz w:val="20"/>
        </w:rPr>
        <w:t>This study presents the most comprehensive multi-tool validation of a pharmacogenomic analysis engine to date, encompassing 2,600 individuals across 21 globally diverse populations. The results demonstrate that GenomeGuard achieves near-perfect concordance with established PGx tools while delivering substantially superior computational performance.</w:t>
      </w:r>
    </w:p>
    <w:p>
      <w:pPr>
        <w:spacing w:after="120"/>
      </w:pPr>
      <w:r>
        <w:rPr>
          <w:b w:val="0"/>
          <w:i w:val="0"/>
          <w:sz w:val="20"/>
        </w:rPr>
        <w:t>Several key findings merit discussion. First, the high concordance rates observed across all tool pairs validate the fundamental accuracy of VCF-based star-allele calling for the Tier-1 pharmacogene panel. The small number of discordant calls were predominantly attributable to allele-definition version differences and notation divergence—both expected and non-critical sources of discrepancy that do not indicate analytical errors.</w:t>
      </w:r>
    </w:p>
    <w:p>
      <w:pPr>
        <w:spacing w:after="120"/>
      </w:pPr>
      <w:r>
        <w:rPr>
          <w:b w:val="0"/>
          <w:i w:val="0"/>
          <w:sz w:val="20"/>
        </w:rPr>
        <w:t>Second, the cross-population analysis reveals consistent performance across African, European, East Asian, and Admixed American ancestries. This is a critical finding for clinical deployment, as it demonstrates that GenomeGuard's allele-calling logic is not biased toward any particular ancestry group. Combined with our prior validation on 601 South Asian genomes (v1), GenomeGuard has now been validated across all five 1000 Genomes superpopulations.</w:t>
      </w:r>
    </w:p>
    <w:p>
      <w:pPr>
        <w:spacing w:after="120"/>
      </w:pPr>
      <w:r>
        <w:rPr>
          <w:b w:val="0"/>
          <w:i w:val="0"/>
          <w:sz w:val="20"/>
        </w:rPr>
        <w:t>Third, the computational performance advantage of GenomeGuard is substantial. As a native Python engine that operates directly on VCF data without Docker containerization overhead, GenomeGuard processes thousands of samples in seconds rather than hours. This throughput advantage has direct clinical implications: it enables real-time PGx interpretation in electronic health record (EHR) workflows and population-scale screening programs.</w:t>
      </w:r>
    </w:p>
    <w:p>
      <w:pPr>
        <w:pStyle w:val="Heading2"/>
      </w:pPr>
      <w:r>
        <w:rPr>
          <w:color w:val="000000"/>
        </w:rPr>
        <w:t>4.1 Limitations</w:t>
      </w:r>
    </w:p>
    <w:p>
      <w:pPr>
        <w:spacing w:after="120"/>
      </w:pPr>
      <w:r>
        <w:rPr>
          <w:b w:val="0"/>
          <w:i w:val="0"/>
          <w:sz w:val="20"/>
        </w:rPr>
        <w:t>This study has several limitations. First, the validation is restricted to SNV/indel-based star-allele calling and does not assess structural variant detection (e.g., CYP2D6 gene deletions/duplications), which requires BAM-level data. Second, the 1000 Genomes dataset consists of ostensibly healthy individuals; performance on clinical specimens with somatic variants or low-quality sequencing data may differ. Third, the pharmacogene panel is limited to 16 Tier-1 genes with 37 defining positions, and does not cover all CPIC-actionable genes.</w:t>
      </w:r>
    </w:p>
    <w:p>
      <w:pPr>
        <w:pStyle w:val="Heading2"/>
      </w:pPr>
      <w:r>
        <w:rPr>
          <w:color w:val="000000"/>
        </w:rPr>
        <w:t>4.2 Future Work</w:t>
      </w:r>
    </w:p>
    <w:p>
      <w:pPr>
        <w:spacing w:after="120"/>
      </w:pPr>
      <w:r>
        <w:rPr>
          <w:b w:val="0"/>
          <w:i w:val="0"/>
          <w:sz w:val="20"/>
        </w:rPr>
        <w:t>Future validation efforts will expand the variant panel to include additional CPIC Level A genes, assess structural variant calling using BAM data from the Genome in a Bottle consortium, and evaluate performance on clinical cohorts with known drug-response outcomes.</w:t>
      </w:r>
    </w:p>
    <w:p>
      <w:pPr>
        <w:pStyle w:val="Heading1"/>
      </w:pPr>
      <w:r>
        <w:rPr>
          <w:color w:val="000000"/>
        </w:rPr>
        <w:t>5. Conclusions</w:t>
      </w:r>
    </w:p>
    <w:p>
      <w:pPr>
        <w:spacing w:after="120"/>
      </w:pPr>
      <w:r>
        <w:rPr>
          <w:b w:val="0"/>
          <w:i w:val="0"/>
          <w:sz w:val="20"/>
        </w:rPr>
        <w:t>GenomeGuard v2.0 demonstrates robust analytical validity for pharmacogenomic star-allele calling across 2,600 globally diverse genomes, achieving near-perfect concordance with PharmCAT, Aldy, and PyPGx. Its native Python architecture delivers orders-of-magnitude performance improvements over containerized alternatives, enabling real-time clinical PGx interpretation. These results support the deployment of GenomeGuard in precision medicine workflows across all major global ancestry groups.</w:t>
      </w:r>
    </w:p>
    <w:p>
      <w:pPr>
        <w:pStyle w:val="Heading1"/>
      </w:pPr>
      <w:r>
        <w:rPr>
          <w:color w:val="000000"/>
        </w:rPr>
        <w:t>6. References</w:t>
      </w:r>
    </w:p>
    <w:p>
      <w:pPr>
        <w:spacing w:after="40"/>
      </w:pPr>
      <w:r>
        <w:rPr>
          <w:b w:val="0"/>
          <w:i w:val="0"/>
          <w:sz w:val="18"/>
        </w:rPr>
        <w:t>1. Relling MV, Klein TE. CPIC: Clinical Pharmacogenetics Implementation Consortium. Clin Pharmacol Ther. 2011;89(3):464-467.</w:t>
      </w:r>
    </w:p>
    <w:p>
      <w:pPr>
        <w:spacing w:after="40"/>
      </w:pPr>
      <w:r>
        <w:rPr>
          <w:b w:val="0"/>
          <w:i w:val="0"/>
          <w:sz w:val="18"/>
        </w:rPr>
        <w:t>2. Sangkuhl K, et al. PharmCAT: Pharmacogenomics Clinical Annotation Tool. Clin Pharmacol Ther. 2020;107(1):203-210.</w:t>
      </w:r>
    </w:p>
    <w:p>
      <w:pPr>
        <w:spacing w:after="40"/>
      </w:pPr>
      <w:r>
        <w:rPr>
          <w:b w:val="0"/>
          <w:i w:val="0"/>
          <w:sz w:val="18"/>
        </w:rPr>
        <w:t>3. Numanagić I, et al. Aldy: A tool for genotyping and phasing of pharmacogenes. Nat Commun. 2018;9:5091.</w:t>
      </w:r>
    </w:p>
    <w:p>
      <w:pPr>
        <w:spacing w:after="40"/>
      </w:pPr>
      <w:r>
        <w:rPr>
          <w:b w:val="0"/>
          <w:i w:val="0"/>
          <w:sz w:val="18"/>
        </w:rPr>
        <w:t>4. Lee S-B, et al. PyPGx: A Python package for pharmacogenomics. PLoS One. 2022;17(3):e0265776.</w:t>
      </w:r>
    </w:p>
    <w:p>
      <w:pPr>
        <w:spacing w:after="40"/>
      </w:pPr>
      <w:r>
        <w:rPr>
          <w:b w:val="0"/>
          <w:i w:val="0"/>
          <w:sz w:val="18"/>
        </w:rPr>
        <w:t>5. Byrska-Bishop M, et al. High-coverage whole-genome sequencing of the expanded 1000 Genomes Project cohort. Cell. 2022;185(18):3426-3440.</w:t>
      </w:r>
    </w:p>
    <w:p>
      <w:pPr>
        <w:spacing w:after="40"/>
      </w:pPr>
      <w:r>
        <w:rPr>
          <w:b w:val="0"/>
          <w:i w:val="0"/>
          <w:sz w:val="18"/>
        </w:rPr>
        <w:t>6. PharmVar Consortium. The Pharmacogene Variation Consortium. Clin Pharmacol Ther. 2019;105(3):689-692.</w:t>
      </w:r>
    </w:p>
    <w:p>
      <w:pPr>
        <w:spacing w:after="40"/>
      </w:pPr>
      <w:r>
        <w:rPr>
          <w:b w:val="0"/>
          <w:i w:val="0"/>
          <w:sz w:val="18"/>
        </w:rPr>
        <w:t>7. Caudle KE, et al. Standardizing terms for clinical pharmacogenetic test results. Genet Med. 2017;19(2):215-223.</w:t>
      </w:r>
    </w:p>
    <w:p>
      <w:pPr>
        <w:spacing w:after="40"/>
      </w:pPr>
      <w:r>
        <w:rPr>
          <w:b w:val="0"/>
          <w:i w:val="0"/>
          <w:sz w:val="18"/>
        </w:rPr>
        <w:t>8. Twist GP, et al. Constellation: a tool for rapid, automated phenotype assignment of a highly polymorphic pharmacogene. NPJ Genom Med. 2017;2:21.</w:t>
      </w:r>
    </w:p>
    <w:p>
      <w:pPr>
        <w:spacing w:after="40"/>
      </w:pPr>
      <w:r>
        <w:rPr>
          <w:b w:val="0"/>
          <w:i w:val="0"/>
          <w:sz w:val="18"/>
        </w:rPr>
        <w:t>9. Cohen J. A coefficient of agreement for nominal scales. Educ Psychol Meas. 1960;20(1):37-46.</w:t>
      </w:r>
    </w:p>
    <w:p>
      <w:pPr>
        <w:spacing w:after="40"/>
      </w:pPr>
      <w:r>
        <w:rPr>
          <w:b w:val="0"/>
          <w:i w:val="0"/>
          <w:sz w:val="18"/>
        </w:rPr>
        <w:t>10. McNemar Q. Note on the sampling error of the difference between correlated proportions or percentages. Psychometrika. 1947;12:153-157.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