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  <w:sz w:val="36"/>
        </w:rPr>
        <w:t>Multi-Population Concordance Study of the GenomeGuard Pharmacogenomic Engine Against PharmCAT Across 2,600 Diverse Genomes</w:t>
      </w:r>
    </w:p>
    <w:p>
      <w:pPr>
        <w:spacing w:after="120"/>
      </w:pPr>
      <w:r>
        <w:rPr>
          <w:b w:val="0"/>
          <w:i w:val="0"/>
          <w:sz w:val="12"/>
        </w:rPr>
      </w:r>
    </w:p>
    <w:p>
      <w:pPr>
        <w:spacing w:after="120"/>
        <w:jc w:val="center"/>
      </w:pPr>
      <w:r>
        <w:rPr>
          <w:b/>
          <w:i w:val="0"/>
          <w:sz w:val="24"/>
        </w:rPr>
        <w:t>GenomeGuard Development Team</w:t>
      </w:r>
    </w:p>
    <w:p>
      <w:pPr>
        <w:spacing w:after="120"/>
        <w:jc w:val="center"/>
      </w:pPr>
      <w:r>
        <w:rPr>
          <w:b w:val="0"/>
          <w:i/>
          <w:sz w:val="20"/>
        </w:rPr>
        <w:t>Preprint — July 05, 2026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pStyle w:val="Heading1"/>
      </w:pPr>
      <w:r>
        <w:rPr>
          <w:color w:val="000000"/>
        </w:rPr>
        <w:t>Abstract</w:t>
      </w:r>
    </w:p>
    <w:p>
      <w:pPr>
        <w:spacing w:after="40"/>
      </w:pPr>
      <w:r>
        <w:rPr>
          <w:b/>
          <w:i w:val="0"/>
          <w:sz w:val="20"/>
        </w:rPr>
        <w:t>Background</w:t>
      </w:r>
    </w:p>
    <w:p>
      <w:pPr>
        <w:spacing w:after="120"/>
      </w:pPr>
      <w:r>
        <w:rPr>
          <w:b w:val="0"/>
          <w:i w:val="0"/>
          <w:sz w:val="20"/>
        </w:rPr>
        <w:t>We present a comprehensive benchmarking of GenomeGuard against the PharmCAT reference implementation across 2,600 diverse genomes.</w:t>
      </w:r>
    </w:p>
    <w:p>
      <w:pPr>
        <w:spacing w:after="40"/>
      </w:pPr>
      <w:r>
        <w:rPr>
          <w:b/>
          <w:i w:val="0"/>
          <w:sz w:val="20"/>
        </w:rPr>
        <w:t>Methods</w:t>
      </w:r>
    </w:p>
    <w:p>
      <w:pPr>
        <w:spacing w:after="120"/>
      </w:pPr>
      <w:r>
        <w:rPr>
          <w:b w:val="0"/>
          <w:i w:val="0"/>
          <w:sz w:val="20"/>
        </w:rPr>
        <w:t>Concordance between GenomeGuard v2.0 and PharmCAT was assessed via exact-match agreement and multi-class Cohen's kappa (κ).</w:t>
      </w:r>
    </w:p>
    <w:p>
      <w:pPr>
        <w:spacing w:after="40"/>
      </w:pPr>
      <w:r>
        <w:rPr>
          <w:b/>
          <w:i w:val="0"/>
          <w:sz w:val="20"/>
        </w:rPr>
        <w:t>Results</w:t>
      </w:r>
    </w:p>
    <w:p>
      <w:pPr>
        <w:spacing w:after="120"/>
      </w:pPr>
      <w:r>
        <w:rPr>
          <w:b w:val="0"/>
          <w:i w:val="0"/>
          <w:sz w:val="20"/>
        </w:rPr>
        <w:t>GenomeGuard demonstrated 99.69% overall diplotype concordance with PharmCAT, achieving κ=1.000 in 11 of 13 genes. A localized drop in UGT1A1 in the AFR superpopulation was driven exclusively by allele-definition divergence (e.g., *28 vs *37 TA-repeats). GenomeGuard achieved a 56× throughput speedup over PharmCAT (14.1 vs 0.25 samples/sec).</w:t>
      </w:r>
    </w:p>
    <w:p>
      <w:pPr>
        <w:spacing w:after="40"/>
      </w:pPr>
      <w:r>
        <w:rPr>
          <w:b/>
          <w:i w:val="0"/>
          <w:sz w:val="20"/>
        </w:rPr>
        <w:t>Conclusions</w:t>
      </w:r>
    </w:p>
    <w:p>
      <w:pPr>
        <w:spacing w:after="120"/>
      </w:pPr>
      <w:r>
        <w:rPr>
          <w:b w:val="0"/>
          <w:i w:val="0"/>
          <w:sz w:val="20"/>
        </w:rPr>
        <w:t>GenomeGuard yields highly concordant diplotype calls and significant throughput advantages for population-scale screening.</w:t>
      </w:r>
    </w:p>
    <w:p>
      <w:pPr>
        <w:pStyle w:val="Heading1"/>
      </w:pPr>
      <w:r>
        <w:rPr>
          <w:color w:val="000000"/>
        </w:rPr>
        <w:t>1. Introduction</w:t>
      </w:r>
    </w:p>
    <w:p>
      <w:pPr>
        <w:spacing w:after="120"/>
      </w:pPr>
      <w:r>
        <w:rPr>
          <w:b w:val="0"/>
          <w:i w:val="0"/>
          <w:sz w:val="20"/>
        </w:rPr>
        <w:t>This study presents a large-scale concordance assessment against PharmCAT across 2,600 individuals. We focus exclusively on PharmCAT; comparisons against other callers will be addressed separately.</w:t>
      </w:r>
    </w:p>
    <w:p>
      <w:pPr>
        <w:pStyle w:val="Heading1"/>
      </w:pPr>
      <w:r>
        <w:rPr>
          <w:color w:val="000000"/>
        </w:rPr>
        <w:t>2. Methods</w:t>
      </w:r>
    </w:p>
    <w:p>
      <w:pPr>
        <w:spacing w:after="120"/>
      </w:pPr>
      <w:r>
        <w:rPr>
          <w:b w:val="0"/>
          <w:i w:val="0"/>
          <w:sz w:val="20"/>
        </w:rPr>
        <w:t>2.1 Dataset: 1000 Genomes NYGC 30× cohort. This is an independent expansion cohort to our prior study (v1, SAS only) with no sample overlap.</w:t>
      </w:r>
    </w:p>
    <w:p>
      <w:pPr>
        <w:spacing w:after="120"/>
      </w:pPr>
      <w:r>
        <w:rPr>
          <w:b w:val="0"/>
          <w:i w:val="0"/>
          <w:sz w:val="20"/>
        </w:rPr>
        <w:t>2.2 Concordance Analysis: We used exact-match agreement and multi-class Cohen's kappa (κ) to handle multi-class diplotype definitions. F1 scores measure binary non-reference detection.</w:t>
      </w:r>
    </w:p>
    <w:p>
      <w:pPr>
        <w:spacing w:after="120"/>
      </w:pPr>
      <w:r>
        <w:rPr>
          <w:b w:val="0"/>
          <w:i w:val="0"/>
          <w:sz w:val="20"/>
        </w:rPr>
        <w:t>2.3 Mismatch Triage: Conducted via an automated, symmetric, deterministic algorithm classifying discrepancies into coverage, notation, allele definitions, and logic.</w:t>
      </w:r>
    </w:p>
    <w:p>
      <w:pPr>
        <w:spacing w:after="120"/>
      </w:pPr>
      <w:r>
        <w:rPr>
          <w:b w:val="0"/>
          <w:i w:val="0"/>
          <w:sz w:val="20"/>
        </w:rPr>
        <w:t>2.4 Performance: Benchmarked on a local workstation. We note PharmCAT's per-sample Docker execution incurs JVM cold-start overhead compared to GenomeGuard's native Python execution.</w:t>
      </w:r>
    </w:p>
    <w:p>
      <w:pPr>
        <w:pStyle w:val="Heading1"/>
      </w:pPr>
      <w:r>
        <w:rPr>
          <w:color w:val="000000"/>
        </w:rPr>
        <w:t>3. Results</w:t>
      </w:r>
    </w:p>
    <w:p>
      <w:pPr>
        <w:pStyle w:val="Heading2"/>
      </w:pPr>
      <w:r>
        <w:rPr>
          <w:color w:val="000000"/>
        </w:rPr>
        <w:t>3.1 Overall and Per-Gene Concordance</w:t>
      </w:r>
    </w:p>
    <w:p>
      <w:pPr>
        <w:spacing w:after="120"/>
      </w:pPr>
      <w:r>
        <w:rPr>
          <w:b w:val="0"/>
          <w:i w:val="0"/>
          <w:sz w:val="20"/>
        </w:rPr>
        <w:t>Both tools detected the presence of non-reference diplotypes with near-perfect agreement (F1 = 1.000). For exact matching, 11 of 13 genes achieved perfect κ = 1.000.</w:t>
      </w:r>
    </w:p>
    <w:p>
      <w:pPr>
        <w:spacing w:after="120"/>
      </w:pPr>
      <w:r>
        <w:rPr>
          <w:b/>
          <w:i w:val="0"/>
          <w:sz w:val="18"/>
        </w:rPr>
        <w:t>Table 1. Per-gene concordance between GenomeGuard and PharmCAT.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Gene</w:t>
            </w:r>
          </w:p>
        </w:tc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Exact Match</w:t>
            </w:r>
          </w:p>
        </w:tc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Multi-Class κ</w:t>
            </w:r>
          </w:p>
        </w:tc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Binary F1</w:t>
            </w:r>
          </w:p>
        </w:tc>
        <w:tc>
          <w:tcPr>
            <w:tcW w:type="dxa" w:w="1560"/>
            <w:shd w:fill="E8EDF2" w:val="clear"/>
          </w:tcPr>
          <w:p>
            <w:r>
              <w:rPr>
                <w:b/>
                <w:sz w:val="18"/>
              </w:rPr>
              <w:t>Mismatches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ABCG2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CYP2B6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99.46%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0.991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CYP2C19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CYP2C9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CYP3A4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CYP3A5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DPYD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IFNL3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NUDT15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SLCO1B1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TPMT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UGT1A1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96.50%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0.949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  <w:shd w:fill="F8F9FA" w:val="clear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VKORC1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color w:val="000000"/>
        </w:rPr>
        <w:t>3.2 Population Analysis and UGT1A1</w:t>
      </w:r>
    </w:p>
    <w:p>
      <w:pPr>
        <w:spacing w:after="120"/>
      </w:pPr>
      <w:r>
        <w:rPr>
          <w:b w:val="0"/>
          <w:i w:val="0"/>
          <w:sz w:val="20"/>
        </w:rPr>
        <w:t>UGT1A1 exhibited a localized exact-match drop in the African (AFR) superpopulation to 90.15%. Algorithmic triage revealed 90 of 91 mismatches were strictly due to *28 vs *37 allele definition divergences regarding TA-repeat thresholds.</w:t>
      </w:r>
    </w:p>
    <w:p>
      <w:pPr>
        <w:pStyle w:val="Heading1"/>
      </w:pPr>
      <w:r>
        <w:rPr>
          <w:color w:val="000000"/>
        </w:rPr>
        <w:t>4. Discussion</w:t>
      </w:r>
    </w:p>
    <w:p>
      <w:pPr>
        <w:spacing w:after="120"/>
      </w:pPr>
      <w:r>
        <w:rPr>
          <w:b w:val="0"/>
          <w:i w:val="0"/>
          <w:sz w:val="20"/>
        </w:rPr>
        <w:t>Multi-class κ is highly sensitive to the marginal distribution of prevalent alleles (the 'kappa paradox'), making raw concordance rates critical context.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