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unit of an advertisement packet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Preamble(1byte)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Advertising: 01010101 (Access Address 의 LSB가 1이면 01010101b, 0이면 10101010b 로 설정된다.(4byte)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Access Address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 address for link layer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advertise packet은 0x8E89BED6 으로 모두 동일하다.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CRC(3byte)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 for parity bit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171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Advertising Channel PDU: 2바이트 header를 포함한 총 39바이트의 길이를 가지며, 최대 37bytes의 payload format 은 다시 Data Payload와 Advertising Address로 나뉘게 된다.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Advertising Address 부분에서 Mac Address 가 들어오게 되며, Data Payload는 length, AD type ,AD Data로 구성된다.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0463" cy="18336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3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타입에 대해서는 블루투스 사이트의  general-access-profile에서 찾아볼 수 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SCAN_REQ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두가지 필드로 나누어져 있으며, 각각 6bytes 씩할당된다.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ScanA는 스캐너의 주소를 나타내며, AdvA는 광고자의 주소를 나타낸다.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TxAdd 필드 값이 0으로 설정된 경우, ScanA==public 임을 나타내며, 1로 설정된경우 ScanA==Random 임을 나타낸다.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RxAdd 필드 값이 0으로 설정된 경우 AdvA==public 임을 나타내며, 1로 설정된 경우 AdvA==Random 임을 나타낸다.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SCAN_RSP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3"/>
            <w:szCs w:val="23"/>
            <w:u w:val="single"/>
            <w:rtl w:val="0"/>
          </w:rPr>
          <w:t xml:space="preserve">https://www.bluetooth.com/specifications/bluetooth-core-specification/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https://www.silabs.com/community/wireless/bluetooth/knowledge-base.entry.html/2017/02/10/bluetooth_advertisin-hGsf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https://www.bluetooth.com/specifications/assigned-numbers/generic-access-profile/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luetooth.com/specifications/bluetooth-core-specification/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s://www.silabs.com/community/wireless/bluetooth/knowledge-base.entry.html/2017/02/10/bluetooth_advertisin-hGsf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