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Bdr>
          <w:top w:val="none" w:sz="0" w:space="0" w:color="auto"/>
          <w:left w:val="none" w:sz="0" w:space="0" w:color="auto"/>
          <w:bottom w:val="none" w:sz="0" w:space="0" w:color="auto"/>
          <w:right w:val="none" w:sz="0" w:space="0" w:color="auto"/>
          <w:between w:val="none" w:sz="0" w:space="0" w:color="auto"/>
        </w:pBdr>
      </w:pPr>
      <w:r>
        <w:rPr>
          <w:rFonts w:ascii="Georgia" w:hAnsi="Georgia"/>
          <w:i/>
          <w:color w:val="C5A030"/>
          <w:sz w:val="22"/>
        </w:rPr>
        <w:t>Weekly Intelligence Digest</w:t>
      </w:r>
    </w:p>
    <w:p>
      <w:pPr>
        <w:spacing w:before="120" w:after="120"/>
        <w:pBdr>
          <w:top w:val="none" w:sz="0" w:space="0" w:color="auto"/>
          <w:left w:val="none" w:sz="0" w:space="0" w:color="auto"/>
          <w:bottom w:val="none" w:sz="0" w:space="0" w:color="auto"/>
          <w:right w:val="none" w:sz="0" w:space="0" w:color="auto"/>
          <w:between w:val="none" w:sz="0" w:space="0" w:color="auto"/>
        </w:pBdr>
      </w:pPr>
      <w:r>
        <w:rPr>
          <w:rFonts w:ascii="Georgia" w:hAnsi="Georgia"/>
          <w:b/>
          <w:color w:val="1E3A5F"/>
          <w:sz w:val="56"/>
        </w:rPr>
        <w:t>CLAIRE</w:t>
      </w:r>
    </w:p>
    <w:p>
      <w:pPr>
        <w:spacing w:before="0" w:after="560"/>
        <w:pBdr>
          <w:top w:val="none" w:sz="0" w:space="0" w:color="auto"/>
          <w:left w:val="none" w:sz="0" w:space="0" w:color="auto"/>
          <w:bottom w:val="none" w:sz="0" w:space="0" w:color="auto"/>
          <w:right w:val="none" w:sz="0" w:space="0" w:color="auto"/>
          <w:between w:val="none" w:sz="0" w:space="0" w:color="auto"/>
        </w:pBdr>
      </w:pPr>
      <w:r>
        <w:rPr>
          <w:rFonts w:ascii="Georgia" w:hAnsi="Georgia"/>
          <w:b/>
          <w:color w:val="C5A030"/>
          <w:sz w:val="28"/>
        </w:rPr>
        <w:t>Claude Configuration Signal Report — 2026-05-23</w:t>
      </w:r>
    </w:p>
    <w:p>
      <w:pPr>
        <w:pStyle w:val="Heading1"/>
      </w:pPr>
      <w:r>
        <w:t>Signal Summary</w:t>
      </w:r>
    </w:p>
    <w:p>
      <w:r>
        <w:rPr>
          <w:b/>
        </w:rPr>
        <w:t xml:space="preserve">Run date: </w:t>
      </w:r>
      <w:r>
        <w:t>2026-05-23</w:t>
      </w:r>
    </w:p>
    <w:p>
      <w:r>
        <w:rPr>
          <w:b/>
        </w:rPr>
        <w:t xml:space="preserve">Posts scanned: </w:t>
      </w:r>
      <w:r>
        <w:t>127</w:t>
      </w:r>
    </w:p>
    <w:p>
      <w:pPr>
        <w:pStyle w:val="Heading2"/>
      </w:pPr>
      <w:r>
        <w:t>Signal Breakdown</w:t>
      </w:r>
    </w:p>
    <w:tbl>
      <w:tblPr>
        <w:tblW w:type="auto" w:w="0"/>
        <w:jc w:val="left"/>
        <w:tblLook w:firstColumn="1" w:firstRow="1" w:lastColumn="0" w:lastRow="0" w:noHBand="0" w:noVBand="1" w:val="04A0"/>
      </w:tblPr>
      <w:tblGrid>
        <w:gridCol w:w="10"/>
        <w:gridCol w:w="5"/>
      </w:tblGrid>
      <w:tr>
        <w:tc>
          <w:tcPr>
            <w:tcW w:type="dxa" w:w="4680"/>
            <w:shd w:val="clear" w:color="auto" w:fill="1E3A5F"/>
            <w:tcBorders>
              <w:top w:val="single" w:sz="4" w:color="E2E8F0"/>
              <w:left w:val="single" w:sz="4" w:color="E2E8F0"/>
              <w:bottom w:val="single" w:sz="4" w:color="E2E8F0"/>
              <w:right w:val="single" w:sz="4" w:color="E2E8F0"/>
            </w:tcBorders>
            <w:vAlign w:val="center"/>
          </w:tcPr>
          <w:p>
            <w:r>
              <w:rPr>
                <w:rFonts w:ascii="Century Gothic" w:hAnsi="Century Gothic"/>
                <w:b/>
                <w:color w:val="FFFFFF"/>
                <w:sz w:val="20"/>
              </w:rPr>
              <w:t>Category</w:t>
            </w:r>
          </w:p>
        </w:tc>
        <w:tc>
          <w:tcPr>
            <w:tcW w:type="dxa" w:w="4680"/>
            <w:shd w:val="clear" w:color="auto" w:fill="1E3A5F"/>
            <w:tcBorders>
              <w:top w:val="single" w:sz="4" w:color="E2E8F0"/>
              <w:left w:val="single" w:sz="4" w:color="E2E8F0"/>
              <w:bottom w:val="single" w:sz="4" w:color="E2E8F0"/>
              <w:right w:val="single" w:sz="4" w:color="E2E8F0"/>
            </w:tcBorders>
            <w:vAlign w:val="center"/>
          </w:tcPr>
          <w:p>
            <w:r>
              <w:rPr>
                <w:rFonts w:ascii="Century Gothic" w:hAnsi="Century Gothic"/>
                <w:b/>
                <w:color w:val="FFFFFF"/>
                <w:sz w:val="20"/>
              </w:rPr>
              <w:t>Count</w:t>
            </w:r>
          </w:p>
        </w:tc>
      </w:tr>
      <w:tr>
        <w:tc>
          <w:tcPr>
            <w:tcW w:type="dxa" w:w="4680"/>
            <w:shd w:val="clear" w:color="auto" w:fill="FFFFFF"/>
            <w:tcBorders>
              <w:top w:val="single" w:sz="4" w:color="E2E8F0"/>
              <w:left w:val="single" w:sz="4" w:color="E2E8F0"/>
              <w:bottom w:val="single" w:sz="4" w:color="E2E8F0"/>
              <w:right w:val="single" w:sz="4" w:color="E2E8F0"/>
            </w:tcBorders>
          </w:tcPr>
          <w:p>
            <w:r>
              <w:rPr>
                <w:rFonts w:ascii="Century Gothic" w:hAnsi="Century Gothic"/>
                <w:color w:val="3C3C3C"/>
                <w:sz w:val="20"/>
              </w:rPr>
              <w:t>behavior_complaint</w:t>
            </w:r>
          </w:p>
        </w:tc>
        <w:tc>
          <w:tcPr>
            <w:tcW w:type="dxa" w:w="4680"/>
            <w:shd w:val="clear" w:color="auto" w:fill="FFFFFF"/>
            <w:tcBorders>
              <w:top w:val="single" w:sz="4" w:color="E2E8F0"/>
              <w:left w:val="single" w:sz="4" w:color="E2E8F0"/>
              <w:bottom w:val="single" w:sz="4" w:color="E2E8F0"/>
              <w:right w:val="single" w:sz="4" w:color="E2E8F0"/>
            </w:tcBorders>
          </w:tcPr>
          <w:p>
            <w:r>
              <w:rPr>
                <w:rFonts w:ascii="Century Gothic" w:hAnsi="Century Gothic"/>
                <w:color w:val="3C3C3C"/>
                <w:sz w:val="20"/>
              </w:rPr>
              <w:t>14</w:t>
            </w:r>
          </w:p>
        </w:tc>
      </w:tr>
      <w:tr>
        <w:tc>
          <w:tcPr>
            <w:tcW w:type="dxa" w:w="4680"/>
            <w:shd w:val="clear" w:color="auto" w:fill="F7F8FA"/>
            <w:tcBorders>
              <w:top w:val="single" w:sz="4" w:color="E2E8F0"/>
              <w:left w:val="single" w:sz="4" w:color="E2E8F0"/>
              <w:bottom w:val="single" w:sz="4" w:color="E2E8F0"/>
              <w:right w:val="single" w:sz="4" w:color="E2E8F0"/>
            </w:tcBorders>
          </w:tcPr>
          <w:p>
            <w:r>
              <w:rPr>
                <w:rFonts w:ascii="Century Gothic" w:hAnsi="Century Gothic"/>
                <w:color w:val="3C3C3C"/>
                <w:sz w:val="20"/>
              </w:rPr>
              <w:t>workflow_gap</w:t>
            </w:r>
          </w:p>
        </w:tc>
        <w:tc>
          <w:tcPr>
            <w:tcW w:type="dxa" w:w="4680"/>
            <w:shd w:val="clear" w:color="auto" w:fill="F7F8FA"/>
            <w:tcBorders>
              <w:top w:val="single" w:sz="4" w:color="E2E8F0"/>
              <w:left w:val="single" w:sz="4" w:color="E2E8F0"/>
              <w:bottom w:val="single" w:sz="4" w:color="E2E8F0"/>
              <w:right w:val="single" w:sz="4" w:color="E2E8F0"/>
            </w:tcBorders>
          </w:tcPr>
          <w:p>
            <w:r>
              <w:rPr>
                <w:rFonts w:ascii="Century Gothic" w:hAnsi="Century Gothic"/>
                <w:color w:val="3C3C3C"/>
                <w:sz w:val="20"/>
              </w:rPr>
              <w:t>17</w:t>
            </w:r>
          </w:p>
        </w:tc>
      </w:tr>
      <w:tr>
        <w:tc>
          <w:tcPr>
            <w:tcW w:type="dxa" w:w="4680"/>
            <w:shd w:val="clear" w:color="auto" w:fill="FFFFFF"/>
            <w:tcBorders>
              <w:top w:val="single" w:sz="4" w:color="E2E8F0"/>
              <w:left w:val="single" w:sz="4" w:color="E2E8F0"/>
              <w:bottom w:val="single" w:sz="4" w:color="E2E8F0"/>
              <w:right w:val="single" w:sz="4" w:color="E2E8F0"/>
            </w:tcBorders>
          </w:tcPr>
          <w:p>
            <w:r>
              <w:rPr>
                <w:rFonts w:ascii="Century Gothic" w:hAnsi="Century Gothic"/>
                <w:color w:val="3C3C3C"/>
                <w:sz w:val="20"/>
              </w:rPr>
              <w:t>feature_praise</w:t>
            </w:r>
          </w:p>
        </w:tc>
        <w:tc>
          <w:tcPr>
            <w:tcW w:type="dxa" w:w="4680"/>
            <w:shd w:val="clear" w:color="auto" w:fill="FFFFFF"/>
            <w:tcBorders>
              <w:top w:val="single" w:sz="4" w:color="E2E8F0"/>
              <w:left w:val="single" w:sz="4" w:color="E2E8F0"/>
              <w:bottom w:val="single" w:sz="4" w:color="E2E8F0"/>
              <w:right w:val="single" w:sz="4" w:color="E2E8F0"/>
            </w:tcBorders>
          </w:tcPr>
          <w:p>
            <w:r>
              <w:rPr>
                <w:rFonts w:ascii="Century Gothic" w:hAnsi="Century Gothic"/>
                <w:color w:val="3C3C3C"/>
                <w:sz w:val="20"/>
              </w:rPr>
              <w:t>47</w:t>
            </w:r>
          </w:p>
        </w:tc>
      </w:tr>
      <w:tr>
        <w:tc>
          <w:tcPr>
            <w:tcW w:type="dxa" w:w="4680"/>
            <w:shd w:val="clear" w:color="auto" w:fill="F7F8FA"/>
            <w:tcBorders>
              <w:top w:val="single" w:sz="4" w:color="E2E8F0"/>
              <w:left w:val="single" w:sz="4" w:color="E2E8F0"/>
              <w:bottom w:val="single" w:sz="4" w:color="E2E8F0"/>
              <w:right w:val="single" w:sz="4" w:color="E2E8F0"/>
            </w:tcBorders>
          </w:tcPr>
          <w:p>
            <w:r>
              <w:rPr>
                <w:rFonts w:ascii="Century Gothic" w:hAnsi="Century Gothic"/>
                <w:color w:val="3C3C3C"/>
                <w:sz w:val="20"/>
              </w:rPr>
              <w:t>competitor_gap</w:t>
            </w:r>
          </w:p>
        </w:tc>
        <w:tc>
          <w:tcPr>
            <w:tcW w:type="dxa" w:w="4680"/>
            <w:shd w:val="clear" w:color="auto" w:fill="F7F8FA"/>
            <w:tcBorders>
              <w:top w:val="single" w:sz="4" w:color="E2E8F0"/>
              <w:left w:val="single" w:sz="4" w:color="E2E8F0"/>
              <w:bottom w:val="single" w:sz="4" w:color="E2E8F0"/>
              <w:right w:val="single" w:sz="4" w:color="E2E8F0"/>
            </w:tcBorders>
          </w:tcPr>
          <w:p>
            <w:r>
              <w:rPr>
                <w:rFonts w:ascii="Century Gothic" w:hAnsi="Century Gothic"/>
                <w:color w:val="3C3C3C"/>
                <w:sz w:val="20"/>
              </w:rPr>
              <w:t>2</w:t>
            </w:r>
          </w:p>
        </w:tc>
      </w:tr>
      <w:tr>
        <w:tc>
          <w:tcPr>
            <w:tcW w:type="dxa" w:w="4680"/>
            <w:shd w:val="clear" w:color="auto" w:fill="FFFFFF"/>
            <w:tcBorders>
              <w:top w:val="single" w:sz="4" w:color="E2E8F0"/>
              <w:left w:val="single" w:sz="4" w:color="E2E8F0"/>
              <w:bottom w:val="single" w:sz="4" w:color="E2E8F0"/>
              <w:right w:val="single" w:sz="4" w:color="E2E8F0"/>
            </w:tcBorders>
          </w:tcPr>
          <w:p>
            <w:r>
              <w:rPr>
                <w:rFonts w:ascii="Century Gothic" w:hAnsi="Century Gothic"/>
                <w:color w:val="3C3C3C"/>
                <w:sz w:val="20"/>
              </w:rPr>
              <w:t>cross_platform</w:t>
            </w:r>
          </w:p>
        </w:tc>
        <w:tc>
          <w:tcPr>
            <w:tcW w:type="dxa" w:w="4680"/>
            <w:shd w:val="clear" w:color="auto" w:fill="FFFFFF"/>
            <w:tcBorders>
              <w:top w:val="single" w:sz="4" w:color="E2E8F0"/>
              <w:left w:val="single" w:sz="4" w:color="E2E8F0"/>
              <w:bottom w:val="single" w:sz="4" w:color="E2E8F0"/>
              <w:right w:val="single" w:sz="4" w:color="E2E8F0"/>
            </w:tcBorders>
          </w:tcPr>
          <w:p>
            <w:r>
              <w:rPr>
                <w:rFonts w:ascii="Century Gothic" w:hAnsi="Century Gothic"/>
                <w:color w:val="3C3C3C"/>
                <w:sz w:val="20"/>
              </w:rPr>
              <w:t>0</w:t>
            </w:r>
          </w:p>
        </w:tc>
      </w:tr>
      <w:tr>
        <w:tc>
          <w:tcPr>
            <w:tcW w:type="dxa" w:w="4680"/>
            <w:shd w:val="clear" w:color="auto" w:fill="F7F8FA"/>
            <w:tcBorders>
              <w:top w:val="single" w:sz="4" w:color="E2E8F0"/>
              <w:left w:val="single" w:sz="4" w:color="E2E8F0"/>
              <w:bottom w:val="single" w:sz="4" w:color="E2E8F0"/>
              <w:right w:val="single" w:sz="4" w:color="E2E8F0"/>
            </w:tcBorders>
          </w:tcPr>
          <w:p>
            <w:r>
              <w:rPr>
                <w:rFonts w:ascii="Century Gothic" w:hAnsi="Century Gothic"/>
                <w:color w:val="3C3C3C"/>
                <w:sz w:val="20"/>
              </w:rPr>
              <w:t>noise (dropped)</w:t>
            </w:r>
          </w:p>
        </w:tc>
        <w:tc>
          <w:tcPr>
            <w:tcW w:type="dxa" w:w="4680"/>
            <w:shd w:val="clear" w:color="auto" w:fill="F7F8FA"/>
            <w:tcBorders>
              <w:top w:val="single" w:sz="4" w:color="E2E8F0"/>
              <w:left w:val="single" w:sz="4" w:color="E2E8F0"/>
              <w:bottom w:val="single" w:sz="4" w:color="E2E8F0"/>
              <w:right w:val="single" w:sz="4" w:color="E2E8F0"/>
            </w:tcBorders>
          </w:tcPr>
          <w:p>
            <w:r>
              <w:rPr>
                <w:rFonts w:ascii="Century Gothic" w:hAnsi="Century Gothic"/>
                <w:color w:val="3C3C3C"/>
                <w:sz w:val="20"/>
              </w:rPr>
              <w:t>47</w:t>
            </w:r>
          </w:p>
        </w:tc>
      </w:tr>
    </w:tbl>
    <w:p/>
    <w:p>
      <w:pPr>
        <w:pStyle w:val="Heading2"/>
      </w:pPr>
      <w:r>
        <w:t>Developer Signal Disposition</w:t>
      </w:r>
    </w:p>
    <w:p>
      <w:r>
        <w:t>71 developer-persona posts filtered at cross-reference gate per locked pipeline configuration (filter_out).</w:t>
      </w:r>
    </w:p>
    <w:p>
      <w:pPr>
        <w:pBdr>
          <w:bottom w:val="single" w:sz="8" w:color="C5A030"/>
        </w:pBdr>
      </w:pPr>
    </w:p>
    <w:p>
      <w:pPr>
        <w:pStyle w:val="Heading1"/>
      </w:pPr>
      <w:r>
        <w:t>Track A — Claude Native Signal</w:t>
      </w:r>
    </w:p>
    <w:p>
      <w:pPr>
        <w:pStyle w:val="Heading2"/>
      </w:pPr>
      <w:r>
        <w:t>Memory Edit Candidates</w:t>
      </w:r>
    </w:p>
    <w:p>
      <w:r>
        <w:t>No memory edit candidates this cycle. Signal below evidence threshold or no patterns identified.</w:t>
      </w:r>
    </w:p>
    <w:p>
      <w:pPr>
        <w:pBdr>
          <w:bottom w:val="single" w:sz="8" w:color="C5A030"/>
        </w:pBdr>
      </w:pPr>
    </w:p>
    <w:p>
      <w:pPr>
        <w:pStyle w:val="Heading2"/>
      </w:pPr>
      <w:r>
        <w:t>Profile Diff Candidates</w:t>
      </w:r>
    </w:p>
    <w:p>
      <w:r>
        <w:rPr>
          <w:rFonts w:ascii="Century Gothic" w:hAnsi="Century Gothic"/>
          <w:b/>
          <w:color w:val="1E3A5F"/>
        </w:rPr>
        <w:t>1. Target section: Infrastructure Architecture / Vendor Due Diligence</w:t>
      </w:r>
      <w:r>
        <w:rPr>
          <w:rFonts w:ascii="Century Gothic" w:hAnsi="Century Gothic"/>
          <w:b/>
          <w:color w:val="1E3A5F"/>
          <w:sz w:val="18"/>
        </w:rPr>
        <w:t xml:space="preserve"> [HIGH]</w:t>
      </w:r>
    </w:p>
    <w:p>
      <w:pPr/>
      <w:r>
        <w:t>Proposed change: Add a standing analytical lens for AI tooling vendor due diligence in regulated environments: when evaluating AI-assisted development or productivity tools (e.g., Claude Code, Cursor, Copilot), proactively surface compliance posture (BAA availability, FedRAMP status, data routing architecture, audit trail capabilities) alongside capability assessment. For an SEC-registered RIA, this means flagging cloud-only architectures with no BAA as presumptively non-compliant without additional controls, not as a caveat but as a leading finding.</w:t>
      </w:r>
    </w:p>
    <w:p>
      <w:pPr/>
      <w:r>
        <w:t>The Cursor/compliance post directly maps to the user's regulated environment context and reflects a real due diligence pattern — evaluating AI tooling against HIPAA/SOC2/audit trail requirements. Multiple comments reference Claude Code as a near-term evaluation candidate, making this directly relevant. The user's profile already covers vendor due diligence but this adds specificity to the AI tooling category, which is increasingly a board-level governance question in RIA environments.</w:t>
      </w:r>
    </w:p>
    <w:p>
      <w:pPr>
        <w:pBdr>
          <w:left w:val="single" w:sz="12" w:color="C5A030" w:space="20"/>
        </w:pBdr>
        <w:shd w:val="clear" w:color="auto" w:fill="F7F8FA"/>
      </w:pPr>
      <w:r>
        <w:rPr>
          <w:rFonts w:ascii="Century Gothic" w:hAnsi="Century Gothic"/>
          <w:i/>
          <w:color w:val="3C3C3C"/>
          <w:sz w:val="20"/>
        </w:rPr>
        <w:t>Review proposed change against current profile section before applying. Write hypothesis first.</w:t>
      </w:r>
    </w:p>
    <w:p>
      <w:r>
        <w:rPr>
          <w:b/>
        </w:rPr>
        <w:t xml:space="preserve">Sources: </w:t>
      </w:r>
      <w:r>
        <w:rPr>
          <w:sz w:val="18"/>
        </w:rPr>
        <w:t>https://news.ycombinator.com/item?id=47043484 · https://news.ycombinator.com/item?id=47227647 · https://news.ycombinator.com/item?id=47753643</w:t>
      </w:r>
    </w:p>
    <w:p>
      <w:pPr>
        <w:pBdr>
          <w:bottom w:val="single" w:sz="8" w:color="C5A030"/>
        </w:pBdr>
      </w:pPr>
    </w:p>
    <w:p>
      <w:pPr>
        <w:pStyle w:val="Heading2"/>
      </w:pPr>
      <w:r>
        <w:t>Behavior Watch List</w:t>
      </w:r>
    </w:p>
    <w:p>
      <w:r>
        <w:t>Patterns flagged for monitoring — not yet actionable. Check against personal session notes before next cycle.</w:t>
      </w:r>
    </w:p>
    <w:p>
      <w:pPr>
        <w:pStyle w:val="ListBullet"/>
      </w:pPr>
      <w:r>
        <w:rPr>
          <w:b/>
        </w:rPr>
        <w:t>Multiple posts praise Claude's ability to build and render functional applications end-to-end (React apps, fantasy sports platforms, games) with minimal iteration, suggesting strong vibe-coding and rapid prototyping capability.</w:t>
      </w:r>
    </w:p>
    <w:p>
      <w:pPr/>
      <w:r>
        <w:t>Why not actioned: All supporting posts describe developer/hobbyist use cases; the user's profile explicitly excludes developer-persona use cases, and no posts address executive or governance tooling applications of this capability.</w:t>
      </w:r>
    </w:p>
    <w:p>
      <w:pPr>
        <w:pStyle w:val="ListBullet"/>
      </w:pPr>
      <w:r>
        <w:rPr>
          <w:b/>
        </w:rPr>
        <w:t>Posts from 2023 praising Claude as superior to ChatGPT on nuance, depth, and academic topic handling represent early-era comparative signal that has since been superseded by model generations.</w:t>
      </w:r>
    </w:p>
    <w:p>
      <w:pPr/>
      <w:r>
        <w:t>Why not actioned: Signal is too dated (Claude 1/2 era) to support actionable configuration changes; no pattern in this batch meets the 3-post threshold for current, relevant behavior.</w:t>
      </w:r>
    </w:p>
    <w:p>
      <w:pPr>
        <w:pStyle w:val="ListBullet"/>
      </w:pPr>
      <w:r>
        <w:rPr>
          <w:b/>
        </w:rPr>
        <w:t>Claude.ai reliability and uptime are recurring community concerns, with multiple outage events generating significant signal about API 500 errors and service degradation affecting workflow-dependent users.</w:t>
      </w:r>
    </w:p>
    <w:p>
      <w:pPr/>
      <w:r>
        <w:t>Why not actioned: This reflects platform infrastructure issues outside configuration scope — no memory edit or profile change can mitigate upstream availability failures, and the user's profile does not currently address fallback workflow protocols.</w:t>
      </w:r>
    </w:p>
    <w:p>
      <w:pPr>
        <w:pStyle w:val="ListBullet"/>
      </w:pPr>
      <w:r>
        <w:rPr>
          <w:b/>
        </w:rPr>
        <w:t>Community discussion surfaces a fan-out prompting pattern for long-form document production — generating an outline, then using parallel completions per section — as a potential quality improvement over single-pass generation.</w:t>
      </w:r>
    </w:p>
    <w:p>
      <w:pPr/>
      <w:r>
        <w:t>Why not actioned: Only one post addresses this pattern directly, falling below the 3-post evidence threshold; flagging for future signal accumulation given the user's heavy document production use case.</w:t>
      </w:r>
    </w:p>
    <w:p>
      <w:pPr>
        <w:pStyle w:val="ListBullet"/>
      </w:pPr>
      <w:r>
        <w:rPr>
          <w:b/>
        </w:rPr>
        <w:t>Claude capacity throttling and rate limits are causing mid-session interruptions that disrupt sustained analytical work sessions.</w:t>
      </w:r>
    </w:p>
    <w:p>
      <w:pPr/>
      <w:r>
        <w:t>Why not actioned: This is a platform infrastructure constraint, not a configuration or behavior issue — no prompt engineering or memory edit can address session limit exhaustion.</w:t>
      </w:r>
    </w:p>
    <w:p>
      <w:pPr>
        <w:pStyle w:val="ListBullet"/>
      </w:pPr>
      <w:r>
        <w:rPr>
          <w:b/>
        </w:rPr>
        <w:t>Users report Claude's over-refusal on edge-case prompts as a persistent friction point, though Anthropic claims improvement with Claude 3.</w:t>
      </w:r>
    </w:p>
    <w:p>
      <w:pPr/>
      <w:r>
        <w:t>Why not actioned: Only 2 posts in this batch surface this pattern with sufficient specificity; does not meet the 3-post evidence threshold for candidate generation.</w:t>
      </w:r>
    </w:p>
    <w:p>
      <w:pPr>
        <w:pBdr>
          <w:bottom w:val="single" w:sz="8" w:color="C5A030"/>
        </w:pBdr>
      </w:pPr>
    </w:p>
    <w:p>
      <w:pPr>
        <w:pStyle w:val="Heading1"/>
      </w:pPr>
      <w:r>
        <w:t>Track B — Competitor Gap Signal</w:t>
      </w:r>
    </w:p>
    <w:p>
      <w:pPr>
        <w:pStyle w:val="Heading2"/>
      </w:pPr>
      <w:r>
        <w:t>Skill Draft Candidates</w:t>
      </w:r>
    </w:p>
    <w:p>
      <w:r>
        <w:t>No skill draft candidates this cycle. Competitor gap signal below evidence threshold of 3 corroborating posts. This is expected in early cycles — pattern builds over weekly runs.</w:t>
      </w:r>
    </w:p>
    <w:p>
      <w:pPr>
        <w:pBdr>
          <w:bottom w:val="single" w:sz="8" w:color="C5A030"/>
        </w:pBdr>
      </w:pPr>
    </w:p>
    <w:p>
      <w:pPr>
        <w:pStyle w:val="Heading2"/>
      </w:pPr>
      <w:r>
        <w:t>Profile Addition Candidates</w:t>
      </w:r>
    </w:p>
    <w:p>
      <w:r>
        <w:t>No profile addition candidates this cycle.</w:t>
      </w:r>
    </w:p>
    <w:p>
      <w:pPr>
        <w:pBdr>
          <w:bottom w:val="single" w:sz="8" w:color="C5A030"/>
        </w:pBdr>
      </w:pPr>
    </w:p>
    <w:p>
      <w:pPr>
        <w:pStyle w:val="Heading1"/>
      </w:pPr>
      <w:r>
        <w:t>Track C — Cross-Platform Workflow Techniques</w:t>
      </w:r>
    </w:p>
    <w:p>
      <w:r>
        <w:t>Portable techniques to test manually before any configuration change is considered.</w:t>
      </w:r>
    </w:p>
    <w:p>
      <w:r>
        <w:t>No technique candidates this cycle.</w:t>
      </w:r>
    </w:p>
    <w:p>
      <w:pPr>
        <w:pBdr>
          <w:bottom w:val="single" w:sz="8" w:color="C5A030"/>
        </w:pBdr>
      </w:pPr>
    </w:p>
    <w:p>
      <w:pPr>
        <w:pStyle w:val="Heading1"/>
      </w:pPr>
      <w:r>
        <w:t>Eval Loop Status</w:t>
      </w:r>
    </w:p>
    <w:p>
      <w:pPr>
        <w:pStyle w:val="Heading2"/>
      </w:pPr>
      <w:r>
        <w:t>Applied Changes Pending Eval</w:t>
      </w:r>
    </w:p>
    <w:p>
      <w:r>
        <w:t>Review change_log.json for changes applied since last digest. For each change where a relevant session has occurred, add an eval note:</w:t>
      </w:r>
    </w:p>
    <w:p>
      <w:pPr>
        <w:pBdr>
          <w:left w:val="single" w:sz="12" w:color="C5A030" w:space="20"/>
        </w:pBdr>
        <w:shd w:val="clear" w:color="auto" w:fill="F7F8FA"/>
      </w:pPr>
      <w:r>
        <w:rPr>
          <w:rFonts w:ascii="Century Gothic" w:hAnsi="Century Gothic"/>
          <w:i/>
          <w:color w:val="3C3C3C"/>
          <w:sz w:val="20"/>
        </w:rPr>
        <w:t>2026-05-23 | [session context] | held/partial/no | [one sentence notes]</w:t>
      </w:r>
    </w:p>
    <w:p>
      <w:pPr>
        <w:pStyle w:val="Heading2"/>
      </w:pPr>
      <w:r>
        <w:t>Friction Log Reminder</w:t>
      </w:r>
    </w:p>
    <w:p>
      <w:r>
        <w:t>Update friction_log.txt (project root — not data/) this week. 2-4 entries. Specific behaviors in specific contexts. Blank weeks score everything MEDIUM next cycle — the cross-reference gate loses precision.</w:t>
      </w:r>
    </w:p>
    <w:p>
      <w:pPr>
        <w:pStyle w:val="Heading2"/>
      </w:pPr>
      <w:r>
        <w:t>Quarterly Eval</w:t>
      </w:r>
    </w:p>
    <w:p>
      <w:r>
        <w:t>If quarterly eval is due: feed change_log.json and friction_log.txt to Claude. Request eval report. Revert changes that did not hold. Flag source signal from reverted changes as low-quality in archive.</w:t>
      </w:r>
    </w:p>
    <w:p>
      <w:pPr>
        <w:pStyle w:val="Heading1"/>
      </w:pPr>
      <w:r>
        <w:t>CLAIRE-A Shadow Decisions</w:t>
      </w:r>
    </w:p>
    <w:p>
      <w:pPr>
        <w:spacing w:after="160"/>
      </w:pPr>
      <w:r>
        <w:rPr>
          <w:rFonts w:ascii="Century Gothic" w:hAnsi="Century Gothic"/>
          <w:color w:val="1E3A5F"/>
          <w:sz w:val="22"/>
        </w:rPr>
        <w:t>Engine evaluated 1 candidates (claude-opus-4-5): 1 apply  |  0 skip  |  0 defer</w:t>
      </w:r>
    </w:p>
    <w:p>
      <w:pPr>
        <w:pStyle w:val="Heading2"/>
      </w:pPr>
      <w:r>
        <w:t>Candidate Decisions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E3A5F"/>
            <w:tcBorders>
              <w:top w:val="single" w:sz="4" w:color="E2E8F0"/>
              <w:left w:val="single" w:sz="4" w:color="E2E8F0"/>
              <w:bottom w:val="single" w:sz="4" w:color="E2E8F0"/>
              <w:right w:val="single" w:sz="4" w:color="E2E8F0"/>
            </w:tcBorders>
            <w:vAlign w:val="center"/>
          </w:tcPr>
          <w:p>
            <w:r>
              <w:rPr>
                <w:rFonts w:ascii="Century Gothic" w:hAnsi="Century Gothic"/>
                <w:b/>
                <w:color w:val="FFFFFF"/>
                <w:sz w:val="20"/>
              </w:rPr>
              <w:t>Decision</w:t>
            </w:r>
          </w:p>
        </w:tc>
        <w:tc>
          <w:tcPr>
            <w:tcW w:type="dxa" w:w="2340"/>
            <w:shd w:val="clear" w:color="auto" w:fill="1E3A5F"/>
            <w:tcBorders>
              <w:top w:val="single" w:sz="4" w:color="E2E8F0"/>
              <w:left w:val="single" w:sz="4" w:color="E2E8F0"/>
              <w:bottom w:val="single" w:sz="4" w:color="E2E8F0"/>
              <w:right w:val="single" w:sz="4" w:color="E2E8F0"/>
            </w:tcBorders>
            <w:vAlign w:val="center"/>
          </w:tcPr>
          <w:p>
            <w:r>
              <w:rPr>
                <w:rFonts w:ascii="Century Gothic" w:hAnsi="Century Gothic"/>
                <w:b/>
                <w:color w:val="FFFFFF"/>
                <w:sz w:val="20"/>
              </w:rPr>
              <w:t>Confidence</w:t>
            </w:r>
          </w:p>
        </w:tc>
        <w:tc>
          <w:tcPr>
            <w:tcW w:type="dxa" w:w="2340"/>
            <w:shd w:val="clear" w:color="auto" w:fill="1E3A5F"/>
            <w:tcBorders>
              <w:top w:val="single" w:sz="4" w:color="E2E8F0"/>
              <w:left w:val="single" w:sz="4" w:color="E2E8F0"/>
              <w:bottom w:val="single" w:sz="4" w:color="E2E8F0"/>
              <w:right w:val="single" w:sz="4" w:color="E2E8F0"/>
            </w:tcBorders>
            <w:vAlign w:val="center"/>
          </w:tcPr>
          <w:p>
            <w:r>
              <w:rPr>
                <w:rFonts w:ascii="Century Gothic" w:hAnsi="Century Gothic"/>
                <w:b/>
                <w:color w:val="FFFFFF"/>
                <w:sz w:val="20"/>
              </w:rPr>
              <w:t>Candidate</w:t>
            </w:r>
          </w:p>
        </w:tc>
        <w:tc>
          <w:tcPr>
            <w:tcW w:type="dxa" w:w="2340"/>
            <w:shd w:val="clear" w:color="auto" w:fill="1E3A5F"/>
            <w:tcBorders>
              <w:top w:val="single" w:sz="4" w:color="E2E8F0"/>
              <w:left w:val="single" w:sz="4" w:color="E2E8F0"/>
              <w:bottom w:val="single" w:sz="4" w:color="E2E8F0"/>
              <w:right w:val="single" w:sz="4" w:color="E2E8F0"/>
            </w:tcBorders>
            <w:vAlign w:val="center"/>
          </w:tcPr>
          <w:p>
            <w:r>
              <w:rPr>
                <w:rFonts w:ascii="Century Gothic" w:hAnsi="Century Gothic"/>
                <w:b/>
                <w:color w:val="FFFFFF"/>
                <w:sz w:val="20"/>
              </w:rPr>
              <w:t>Risk Flags</w:t>
            </w:r>
          </w:p>
        </w:tc>
      </w:tr>
      <w:tr>
        <w:tc>
          <w:tcPr>
            <w:tcW w:type="dxa" w:w="2340"/>
            <w:shd w:val="clear" w:color="auto" w:fill="FFFFFF"/>
            <w:tcBorders>
              <w:top w:val="single" w:sz="4" w:color="E2E8F0"/>
              <w:left w:val="single" w:sz="4" w:color="E2E8F0"/>
              <w:bottom w:val="single" w:sz="4" w:color="E2E8F0"/>
              <w:right w:val="single" w:sz="4" w:color="E2E8F0"/>
            </w:tcBorders>
          </w:tcPr>
          <w:p>
            <w:r>
              <w:rPr>
                <w:rFonts w:ascii="Century Gothic" w:hAnsi="Century Gothic"/>
                <w:color w:val="007000"/>
                <w:sz w:val="20"/>
              </w:rPr>
              <w:t>APPLY</w:t>
            </w:r>
          </w:p>
        </w:tc>
        <w:tc>
          <w:tcPr>
            <w:tcW w:type="dxa" w:w="2340"/>
            <w:shd w:val="clear" w:color="auto" w:fill="FFFFFF"/>
            <w:tcBorders>
              <w:top w:val="single" w:sz="4" w:color="E2E8F0"/>
              <w:left w:val="single" w:sz="4" w:color="E2E8F0"/>
              <w:bottom w:val="single" w:sz="4" w:color="E2E8F0"/>
              <w:right w:val="single" w:sz="4" w:color="E2E8F0"/>
            </w:tcBorders>
          </w:tcPr>
          <w:p>
            <w:r>
              <w:rPr>
                <w:rFonts w:ascii="Century Gothic" w:hAnsi="Century Gothic"/>
                <w:color w:val="3C3C3C"/>
                <w:sz w:val="20"/>
              </w:rPr>
              <w:t>75%</w:t>
            </w:r>
          </w:p>
        </w:tc>
        <w:tc>
          <w:tcPr>
            <w:tcW w:type="dxa" w:w="2340"/>
            <w:shd w:val="clear" w:color="auto" w:fill="FFFFFF"/>
            <w:tcBorders>
              <w:top w:val="single" w:sz="4" w:color="E2E8F0"/>
              <w:left w:val="single" w:sz="4" w:color="E2E8F0"/>
              <w:bottom w:val="single" w:sz="4" w:color="E2E8F0"/>
              <w:right w:val="single" w:sz="4" w:color="E2E8F0"/>
            </w:tcBorders>
          </w:tcPr>
          <w:p>
            <w:r>
              <w:rPr>
                <w:rFonts w:ascii="Century Gothic" w:hAnsi="Century Gothic"/>
                <w:color w:val="3C3C3C"/>
                <w:sz w:val="20"/>
              </w:rPr>
              <w:t>Add a standing analytical lens for AI tooling vendor due diligence: when evaluating AI development tools (Claude Code, C</w:t>
            </w:r>
          </w:p>
        </w:tc>
        <w:tc>
          <w:tcPr>
            <w:tcW w:type="dxa" w:w="2340"/>
            <w:shd w:val="clear" w:color="auto" w:fill="FFFFFF"/>
            <w:tcBorders>
              <w:top w:val="single" w:sz="4" w:color="E2E8F0"/>
              <w:left w:val="single" w:sz="4" w:color="E2E8F0"/>
              <w:bottom w:val="single" w:sz="4" w:color="E2E8F0"/>
              <w:right w:val="single" w:sz="4" w:color="E2E8F0"/>
            </w:tcBorders>
          </w:tcPr>
          <w:p>
            <w:r>
              <w:rPr>
                <w:rFonts w:ascii="Century Gothic" w:hAnsi="Century Gothic"/>
                <w:color w:val="3C3C3C"/>
                <w:sz w:val="20"/>
              </w:rPr>
              <w:t>SOURCE_NEW</w:t>
            </w:r>
          </w:p>
        </w:tc>
      </w:tr>
    </w:tbl>
    <w:p/>
    <w:p>
      <w:pPr>
        <w:pStyle w:val="Heading2"/>
      </w:pPr>
      <w:r>
        <w:t>Engine Session Notes</w:t>
      </w:r>
    </w:p>
    <w:p>
      <w:r>
        <w:t>Single-candidate batch. The candidate is well-formed with clear target section, detailed rationale, and source attribution. The digest pipeline produced one candidate from 18 source posts, suggesting appropriate filtering. The candidate extends the user's established vendor risk monitoring pattern (documented in c2-mem-001 and c4-mem-001) into a specific compliance-first evaluation methodology for AI tooling - a timely addition given the referenced Claude Code evaluation context. No eval baseline exists yet; this decision will help establish one. The _meta schema note about change_log summary fields is acknowledged but did not affect this evaluation.</w:t>
      </w:r>
    </w:p>
    <w:p>
      <w:pPr>
        <w:pBdr>
          <w:bottom w:val="single" w:sz="8" w:color="C5A030"/>
        </w:pBdr>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entury Gothic" w:hAnsi="Century Gothic"/>
      <w:color w:val="3C3C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Georgia" w:hAnsi="Georgia"/>
      <w:b/>
      <w:bCs/>
      <w:color w:val="1E3A5F"/>
      <w:sz w:val="4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Georgia" w:hAnsi="Georgia"/>
      <w:b/>
      <w:bCs/>
      <w:color w:val="C5A030"/>
      <w:sz w:val="32"/>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Georgia" w:hAnsi="Georgia"/>
      <w:b/>
      <w:bCs/>
      <w:color w:val="C5A03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