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B2281">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Validation and Verification</w:t>
      </w:r>
    </w:p>
    <w:p w14:paraId="311F3AE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Mesh and Time Convergence</w:t>
      </w:r>
    </w:p>
    <w:p w14:paraId="5134AF47">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Mesh and time convergence analyses were systematically performed for key simulation outputs. Equivalent stress and total absorbed energy demonstrated robust convergence, with differences less than 5–8% as the mesh density was increased and the simulation end time extended. This indicates numerical stability and accuracy for these quantities. Maximum total deformation, as anticipated in explicit dynamic impact problems, showed substantially larger increases with extended simulation time—a well-documented behavior in literature due to the progressive evolution of deformation post-impact. These convergence results build confidence in the reliability of extracted stress and energy data, while highlighting the time-sensitivity of deformation metrics.</w:t>
      </w:r>
    </w:p>
    <w:p w14:paraId="30094B2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Trend and Sensitivity Results</w:t>
      </w:r>
    </w:p>
    <w:p w14:paraId="749053FD">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simulation dataset was systematically examined for parametric trends. Results exhibited consistent, monotonic increases in equivalent stress, deformation, and absorbed energy with rising bird velocity and blade rotational speed. These behaviors conform to established physical expectations and align with previously published computational studies, thereby supporting the physical fidelity of the model even where exact numerical replication is not possible.</w:t>
      </w:r>
    </w:p>
    <w:p w14:paraId="706E4A53">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Insert Figure/Table here showing stress/energy/deformation vs. velocity &amp; RPM.</w:t>
      </w:r>
    </w:p>
    <w:p w14:paraId="1C04141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Analytical Comparison</w:t>
      </w:r>
    </w:p>
    <w:p w14:paraId="3351908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Order-of-magnitude checks were carried out using momentum and kinetic energy theory to approximate impact loads. For example, the kinetic energy of a 1.8 kg bird at 120 m/s is ~12.96 kJ, while the corresponding momentum is ~216 kg·m/s. Simulated absorbed energies and peak stresses for these cases were found to fall within the same order of magnitude, reinforcing consistency with theoretical estimates for highly nonlinear impact events.</w:t>
      </w:r>
    </w:p>
    <w:p w14:paraId="5E7085B0">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Insert Table: comparison of theoretical KE/momentum vs. simulated absorbed energy and stress.</w:t>
      </w:r>
    </w:p>
    <w:p w14:paraId="4079CC8F">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Literature Comparison</w:t>
      </w:r>
    </w:p>
    <w:p w14:paraId="135E684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simulated values were further triangulated with ranges reported in prior computational and experimental studies. Stress magnitudes and absorbed energy levels were found to be broadly similar to those in published works despite differences in geometry, material properties, and impact configurations. This agreement in magnitude with peer-reviewed data strengthens the credibility of the present results.</w:t>
      </w:r>
    </w:p>
    <w:p w14:paraId="2D339E2A">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Insert Table: summary of stress/energy values from key references alongside current study.</w:t>
      </w:r>
    </w:p>
    <w:p w14:paraId="305B85B9">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Machine Learning Verification</w:t>
      </w:r>
    </w:p>
    <w:p w14:paraId="16AC959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machine learning regression model was trained on the simulation dataset to verify internal consistency and parametric smoothness. The model achieved &gt;95% accuracy under k-fold cross-validation, with R² exceeding 0.95 and low RMSE values. Predictions for held-out test cases closely matched the simulated results, confirming the dataset’s internal consistency.</w:t>
      </w:r>
    </w:p>
    <w:p w14:paraId="191EE125">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Insert Table: ML metrics (accuracy, R², RMSE). Add representative plot of predicted vs. actual values.</w:t>
      </w:r>
    </w:p>
    <w:p w14:paraId="63CD450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Limitations</w:t>
      </w:r>
    </w:p>
    <w:p w14:paraId="64FC8C4F">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study synthesizes blade and bird parameters from multiple literature sources. As a result, perfect quantitative alignment with any single previous experimental or computational study is not expected. Instead, confidence is grounded in (i) mesh and time convergence checks, (ii) physically consistent parametric trends, (iii) order-of-magnitude agreement with an</w:t>
      </w:r>
      <w:bookmarkStart w:id="0" w:name="_GoBack"/>
      <w:bookmarkEnd w:id="0"/>
      <w:r>
        <w:rPr>
          <w:rFonts w:hint="default" w:ascii="Times New Roman" w:hAnsi="Times New Roman" w:cs="Times New Roman"/>
          <w:sz w:val="20"/>
          <w:szCs w:val="20"/>
        </w:rPr>
        <w:t>alytical estimates, (iv) magnitude-level similarity with prior studies, and (v) ML-based dataset verification. This multi-pronged approach represents the accepted standard in exploratory simulation research where direct experimental replication is infeasible.</w:t>
      </w:r>
    </w:p>
    <w:p w14:paraId="554B5272">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E1907"/>
    <w:rsid w:val="0B6E1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2025-09-29T12:18:00Z</dcterms:created>
  <dc:creator>Sajid</dc:creator>
  <cp:lastModifiedBy>Sajid</cp:lastModifiedBy>
  <dcterms:modified xsi:type="dcterms:W3CDTF">2025-09-29T12:20:19Z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E4B6C873DF1142AFBBC8A982D415AF27_11</vt:lpwstr>
  </property>
</Properties>
</file>