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2C44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Title</w:t>
      </w:r>
    </w:p>
    <w:p w14:paraId="374ADAF5">
      <w:pPr>
        <w:rPr>
          <w:rFonts w:hint="default" w:ascii="Times New Roman" w:hAnsi="Times New Roman" w:eastAsia="Segoe UI" w:cs="Times New Roman"/>
          <w:i w:val="0"/>
          <w:iCs w:val="0"/>
          <w:caps w:val="0"/>
          <w:spacing w:val="1"/>
          <w:sz w:val="24"/>
          <w:szCs w:val="24"/>
          <w:lang w:val="en-US"/>
        </w:rPr>
      </w:pPr>
      <w:r>
        <w:rPr>
          <w:rFonts w:hint="default" w:ascii="Times New Roman" w:hAnsi="Times New Roman" w:eastAsia="Segoe UI" w:cs="Times New Roman"/>
          <w:i w:val="0"/>
          <w:iCs w:val="0"/>
          <w:caps w:val="0"/>
          <w:spacing w:val="1"/>
          <w:sz w:val="24"/>
          <w:szCs w:val="24"/>
        </w:rPr>
        <w:t>Integrating Machine Learning and High</w:t>
      </w:r>
      <w:r>
        <w:rPr>
          <w:rFonts w:hint="default" w:ascii="Times New Roman" w:hAnsi="Times New Roman" w:eastAsia="Segoe UI" w:cs="Times New Roman"/>
          <w:i w:val="0"/>
          <w:iCs w:val="0"/>
          <w:caps w:val="0"/>
          <w:spacing w:val="1"/>
          <w:sz w:val="24"/>
          <w:szCs w:val="24"/>
          <w:lang w:val="en-US"/>
        </w:rPr>
        <w:t xml:space="preserve"> </w:t>
      </w:r>
      <w:r>
        <w:rPr>
          <w:rFonts w:hint="default" w:ascii="Times New Roman" w:hAnsi="Times New Roman" w:eastAsia="Segoe UI" w:cs="Times New Roman"/>
          <w:i w:val="0"/>
          <w:iCs w:val="0"/>
          <w:caps w:val="0"/>
          <w:spacing w:val="1"/>
          <w:sz w:val="24"/>
          <w:szCs w:val="24"/>
        </w:rPr>
        <w:t>Fidelity Simulations for Design Insights in Bird Strike Impact on Aero</w:t>
      </w:r>
      <w:r>
        <w:rPr>
          <w:rFonts w:hint="default" w:ascii="Times New Roman" w:hAnsi="Times New Roman" w:eastAsia="Segoe UI" w:cs="Times New Roman"/>
          <w:i w:val="0"/>
          <w:iCs w:val="0"/>
          <w:caps w:val="0"/>
          <w:spacing w:val="1"/>
          <w:sz w:val="24"/>
          <w:szCs w:val="24"/>
          <w:lang w:val="en-US"/>
        </w:rPr>
        <w:t xml:space="preserve"> </w:t>
      </w:r>
      <w:r>
        <w:rPr>
          <w:rFonts w:hint="default" w:ascii="Times New Roman" w:hAnsi="Times New Roman" w:eastAsia="Segoe UI" w:cs="Times New Roman"/>
          <w:i w:val="0"/>
          <w:iCs w:val="0"/>
          <w:caps w:val="0"/>
          <w:spacing w:val="1"/>
          <w:sz w:val="24"/>
          <w:szCs w:val="24"/>
        </w:rPr>
        <w:t>Engine Blades</w:t>
      </w:r>
      <w:r>
        <w:rPr>
          <w:rFonts w:hint="default" w:ascii="Times New Roman" w:hAnsi="Times New Roman" w:eastAsia="Segoe UI" w:cs="Times New Roman"/>
          <w:i w:val="0"/>
          <w:iCs w:val="0"/>
          <w:caps w:val="0"/>
          <w:spacing w:val="1"/>
          <w:sz w:val="24"/>
          <w:szCs w:val="24"/>
          <w:lang w:val="en-US"/>
        </w:rPr>
        <w:t>.</w:t>
      </w:r>
    </w:p>
    <w:p w14:paraId="44889920">
      <w:pPr>
        <w:rPr>
          <w:rFonts w:hint="default" w:ascii="Times New Roman" w:hAnsi="Times New Roman" w:eastAsia="Segoe UI" w:cs="Times New Roman"/>
          <w:i w:val="0"/>
          <w:iCs w:val="0"/>
          <w:caps w:val="0"/>
          <w:spacing w:val="1"/>
          <w:sz w:val="24"/>
          <w:szCs w:val="24"/>
          <w:lang w:val="en-US"/>
        </w:rPr>
      </w:pPr>
    </w:p>
    <w:p w14:paraId="52DA36B3">
      <w:pPr>
        <w:rPr>
          <w:rFonts w:hint="default" w:ascii="Times New Roman" w:hAnsi="Times New Roman" w:eastAsia="Segoe UI" w:cs="Times New Roman"/>
          <w:i w:val="0"/>
          <w:iCs w:val="0"/>
          <w:caps w:val="0"/>
          <w:spacing w:val="1"/>
          <w:sz w:val="24"/>
          <w:szCs w:val="24"/>
          <w:lang w:val="en-US"/>
        </w:rPr>
      </w:pPr>
      <w:r>
        <w:rPr>
          <w:rFonts w:hint="default" w:ascii="Times New Roman" w:hAnsi="Times New Roman" w:eastAsia="Segoe UI" w:cs="Times New Roman"/>
          <w:i w:val="0"/>
          <w:iCs w:val="0"/>
          <w:caps w:val="0"/>
          <w:spacing w:val="1"/>
          <w:sz w:val="24"/>
          <w:szCs w:val="24"/>
          <w:lang w:val="en-US"/>
        </w:rPr>
        <w:t>Abstract</w:t>
      </w:r>
    </w:p>
    <w:p w14:paraId="00D12FE5">
      <w:pPr>
        <w:rPr>
          <w:rFonts w:hint="default" w:ascii="Times New Roman" w:hAnsi="Times New Roman" w:eastAsia="Segoe UI" w:cs="Times New Roman"/>
          <w:i w:val="0"/>
          <w:iCs w:val="0"/>
          <w:caps w:val="0"/>
          <w:spacing w:val="1"/>
          <w:sz w:val="24"/>
          <w:szCs w:val="24"/>
        </w:rPr>
      </w:pPr>
    </w:p>
    <w:p w14:paraId="653C2F5E">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One of the leading and significant challenges in the aviation sector is Bird strike </w:t>
      </w:r>
      <w:bookmarkStart w:id="0" w:name="_GoBack"/>
      <w:r>
        <w:rPr>
          <w:rFonts w:hint="default" w:ascii="Times New Roman" w:hAnsi="Times New Roman" w:eastAsia="SimSun" w:cs="Times New Roman"/>
          <w:kern w:val="0"/>
          <w:sz w:val="24"/>
          <w:szCs w:val="24"/>
          <w:lang w:val="en-US" w:eastAsia="zh-CN" w:bidi="ar"/>
        </w:rPr>
        <w:t xml:space="preserve">incidents, which remain a significant engineering and safety challenge, compounded </w:t>
      </w:r>
      <w:bookmarkEnd w:id="0"/>
      <w:r>
        <w:rPr>
          <w:rFonts w:hint="default" w:ascii="Times New Roman" w:hAnsi="Times New Roman" w:eastAsia="SimSun" w:cs="Times New Roman"/>
          <w:kern w:val="0"/>
          <w:sz w:val="24"/>
          <w:szCs w:val="24"/>
          <w:lang w:val="en-US" w:eastAsia="zh-CN" w:bidi="ar"/>
        </w:rPr>
        <w:t>by the high cost and risk of full-scale physical testing. This work presents a student-led computational approach that blends the advanced explicit dynamics simulations performed in Ansys with machine learning to accelerate design assessment and trend discovery. A numerical simulation of 50 high-fidelity simulations was performed following inputs from published journals using a detailed bird surrogate and super alloy blade model, with precise meshing and time convergence, along with mesh convergence studies, to confirm the reliability of stress and energy outcomes. Multiple ML algorithms, including Random Forest, were trained on this dataset along with hypertuning, revealing how impact velocity and rotational speed influence stress, deformation, and total energy. While small dataset size led to partial overfitting and elevated mean squared errors, the models accurately predicted general response trends and highlighted influential parameters. Comparative analysis across ML methods unveiled vital differences in sensitivity and prediction confidence, providing engineers with a practical guide for further simulation or experimental focus. This integrated workflow demonstrates how ML, leveraged alongside robust physics-based modeling, can guide rapid engineering decisions even with limited data, and lays the groundwork for more cost-effective, data-driven structural design in high-impact aerospace scenarios.</w:t>
      </w:r>
    </w:p>
    <w:p w14:paraId="70328E58">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In response to the 2024–2025 Vertical Flight Society (VFS) Student Design Competition Request for </w:t>
      </w:r>
    </w:p>
    <w:p w14:paraId="6DB28B12">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Proposal, this report offers a conceptual re-design of the Cabri G2 and R22 Beta II helicopters, modified to </w:t>
      </w:r>
    </w:p>
    <w:p w14:paraId="48AD08B6">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function as a fully hydrogen-electric vertical takeoff and landing (VTOL) aircraft. While preserving mission </w:t>
      </w:r>
    </w:p>
    <w:p w14:paraId="4CA2EC64">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viability, flight safety, and regulatory feasibility, the design integrates a Proton Exchange Membrane Fuel </w:t>
      </w:r>
    </w:p>
    <w:p w14:paraId="54A36734">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Cell (PEMFC) propulsion system and high-pressure gaseous hydrogen storage to meet the urgent global </w:t>
      </w:r>
    </w:p>
    <w:p w14:paraId="1B4CA19B">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demand for zero-emission aviation. </w:t>
      </w:r>
    </w:p>
    <w:p w14:paraId="35BA77CD">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The suggested design is based on an 85 kW PEMFC framework (TFCM2-B), which is taken from the </w:t>
      </w:r>
    </w:p>
    <w:p w14:paraId="2F7BFF9E">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concept of NASA's 2021 PEMFC modeling requirements. By operating below the designated maximum </w:t>
      </w:r>
    </w:p>
    <w:p w14:paraId="251811CB">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steady-state temperature of 90°C and staying below the 840 V high-voltage constraint, the stack ensures </w:t>
      </w:r>
    </w:p>
    <w:p w14:paraId="377DEEF5">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safe, dependable operation within the confines of show innovation. Hydrogen is stored at 700 bars by RFP </w:t>
      </w:r>
    </w:p>
    <w:p w14:paraId="1B335E43">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requirements and industry standards. A 30-kilogram lithium-ion buffer battery is incorporated into the </w:t>
      </w:r>
    </w:p>
    <w:p w14:paraId="27FD7892">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framework to manage top control requirements and guarantee capacity preservation during autorotation and </w:t>
      </w:r>
    </w:p>
    <w:p w14:paraId="09FDDB17">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flare maneuvers. </w:t>
      </w:r>
    </w:p>
    <w:p w14:paraId="5F59BE5E">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The rotor craft is designed to complete the entire 15-segment "Spearheading Mission" specified in the RFP, </w:t>
      </w:r>
    </w:p>
    <w:p w14:paraId="0655D6F4">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which includes a few vertical float fragments, climb and voyage stages, a sharp plummet using autorotation, </w:t>
      </w:r>
    </w:p>
    <w:p w14:paraId="0FC6981C">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and a delayed dallying period for natural perception. The by and large setup, based on the Cabri G2 stage, </w:t>
      </w:r>
    </w:p>
    <w:p w14:paraId="29719A27">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underpins a payload capacity of 185 kg (about 407.85 lb.) and ensures that the airplane fits inside the 10 m </w:t>
      </w:r>
    </w:p>
    <w:p w14:paraId="7395FC4F">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 10 m × 4 m volume limitation (1 pilot, 1 traveler, and baggage). Careful exchange considers that </w:t>
      </w:r>
    </w:p>
    <w:p w14:paraId="7638DD7D">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comparing the Cabri G2 to the R22 and the RFP standard affirms its predominance regarding vitality </w:t>
      </w:r>
    </w:p>
    <w:p w14:paraId="558CFE68">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integration potential, autorotation behavior, and auxiliary effortlessness. </w:t>
      </w:r>
    </w:p>
    <w:p w14:paraId="4FB0B78C">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Utilizing current-generation certified components and well-known modeling programs like MATLAB, </w:t>
      </w:r>
    </w:p>
    <w:p w14:paraId="442E7B97">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ANSYS, and SolidWorks for execution examination, control calculation, and weight &amp; adjust ponders, the </w:t>
      </w:r>
    </w:p>
    <w:p w14:paraId="0D33CBE9">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proposed plan gives an innovatively reasonable and temperate arrangement. The report consists of </w:t>
      </w:r>
    </w:p>
    <w:p w14:paraId="02812CA4">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numerous simulations about what we have considered and why the report answers the traditional approach </w:t>
      </w:r>
    </w:p>
    <w:p w14:paraId="78CE5B79">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for hydrogen powered vehicles and how they can change the future. This hydrogen-electric VTOL vehicle </w:t>
      </w:r>
    </w:p>
    <w:p w14:paraId="3F61A06F">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demonstrates the conceivable outcomes of economical flight without relinquishing execution, security, or </w:t>
      </w:r>
    </w:p>
    <w:p w14:paraId="5434B789">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reasonableness by distinguishing between development and authenticity. This report fulfills all targets </w:t>
      </w:r>
    </w:p>
    <w:p w14:paraId="58B1175B">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recorded within the RFP, including streamlined execution, framework integration, weight examination, and </w:t>
      </w:r>
    </w:p>
    <w:p w14:paraId="6FA37D02">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mission execution. It reflects an intensive and imaginative approach to future rotorcraft planning, proposing </w:t>
      </w:r>
    </w:p>
    <w:p w14:paraId="46BEB505">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a conceivable way toward clean, secure, and effective vertical flight keeping the design more realistic and </w:t>
      </w:r>
    </w:p>
    <w:p w14:paraId="35035734">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feasible than the current models out there. </w:t>
      </w:r>
    </w:p>
    <w:p w14:paraId="6EFD64A5">
      <w:pPr>
        <w:keepNext w:val="0"/>
        <w:keepLines w:val="0"/>
        <w:widowControl/>
        <w:suppressLineNumbers w:val="0"/>
        <w:jc w:val="left"/>
      </w:pPr>
      <w:r>
        <w:rPr>
          <w:rFonts w:hint="default" w:ascii="Times New Roman" w:hAnsi="Times New Roman" w:eastAsia="SimSun" w:cs="Times New Roman"/>
          <w:b/>
          <w:bCs/>
          <w:i/>
          <w:iCs/>
          <w:color w:val="000000"/>
          <w:kern w:val="0"/>
          <w:sz w:val="19"/>
          <w:szCs w:val="19"/>
          <w:lang w:val="en-US" w:eastAsia="zh-CN" w:bidi="ar"/>
        </w:rPr>
        <w:t xml:space="preserve">Keywords—Hydrogen-Electric VTOL, Proton Exchange Membrane Fuel Cell (PEMFC), Cabri G2, Autorotation, </w:t>
      </w:r>
    </w:p>
    <w:p w14:paraId="763A89D3">
      <w:pPr>
        <w:keepNext w:val="0"/>
        <w:keepLines w:val="0"/>
        <w:widowControl/>
        <w:suppressLineNumbers w:val="0"/>
        <w:jc w:val="left"/>
      </w:pPr>
      <w:r>
        <w:rPr>
          <w:rFonts w:hint="default" w:ascii="Times New Roman" w:hAnsi="Times New Roman" w:eastAsia="SimSun" w:cs="Times New Roman"/>
          <w:b/>
          <w:bCs/>
          <w:i/>
          <w:iCs/>
          <w:color w:val="000000"/>
          <w:kern w:val="0"/>
          <w:sz w:val="19"/>
          <w:szCs w:val="19"/>
          <w:lang w:val="en-US" w:eastAsia="zh-CN" w:bidi="ar"/>
        </w:rPr>
        <w:t>Vertical Flight Society (VFS), Zero-Emission Aviation, TFCM2-B.</w:t>
      </w:r>
    </w:p>
    <w:p w14:paraId="1D7EC8CD">
      <w:pPr>
        <w:rPr>
          <w:rFonts w:hint="default" w:ascii="Times New Roman" w:hAnsi="Times New Roman" w:eastAsia="Segoe UI" w:cs="Times New Roman"/>
          <w:i w:val="0"/>
          <w:iCs w:val="0"/>
          <w:caps w:val="0"/>
          <w:spacing w:val="1"/>
          <w:sz w:val="24"/>
          <w:szCs w:val="24"/>
          <w:lang w:val="en-US"/>
        </w:rPr>
      </w:pPr>
    </w:p>
    <w:p w14:paraId="3D8989A7">
      <w:pPr>
        <w:rPr>
          <w:rFonts w:hint="default" w:ascii="Times New Roman" w:hAnsi="Times New Roman" w:eastAsia="Segoe UI" w:cs="Times New Roman"/>
          <w:i w:val="0"/>
          <w:iCs w:val="0"/>
          <w:caps w:val="0"/>
          <w:spacing w:val="1"/>
          <w:sz w:val="24"/>
          <w:szCs w:val="24"/>
          <w:lang w:val="en-US"/>
        </w:rPr>
      </w:pPr>
      <w:r>
        <w:rPr>
          <w:rFonts w:hint="default" w:ascii="Times New Roman" w:hAnsi="Times New Roman" w:eastAsia="Segoe UI"/>
          <w:i w:val="0"/>
          <w:iCs w:val="0"/>
          <w:caps w:val="0"/>
          <w:spacing w:val="1"/>
          <w:sz w:val="24"/>
          <w:szCs w:val="24"/>
          <w:lang w:val="en-US"/>
        </w:rPr>
        <w:t>Assessing bird strike impacts on aero-engine blades is essential for ensuring aviation safety, yet such events pose unique challenges due to their complex physics and high computational cost. This study presents a comprehensive computational method that leverages the strengths of Smoothed Particle Hydrodynamics (SPH) together with machine learning (ML) to gain both accuracy and efficiency. The SPH technique is employed to simulate large deformations and fragmentation phenomena in the bird surrogate—scenarios where traditional mesh-based finite element approaches often fall short. A series of over 50 simulations was carefully conducted to capture the influence of varying impact velocities and blade rotation speeds on stress, deformation, and energy absorption. With this dataset, ML models, including Random Forest, were trained to predict key response parameters, achieving an impressive accuracy of around 98%. While the data size led to some overfitting, the ML models successfully revealed important patterns and sensitivities, offering useful design insights. Comparing different ML algorithms highlighted their varying strengths and suggested how these tools might complement high-fidelity simulations in practical aerospace applications. This fusion of SPH and ML offers a promising framework that balances detailed physical modeling with rapid predictive capability, potentially transforming how bird strike risk assessments inform fan blade design.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F2250B"/>
    <w:rsid w:val="22F2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139</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2025-09-30T19:45:00Z</dcterms:created>
  <dc:creator>Sajid</dc:creator>
  <cp:lastModifiedBy>Sajid</cp:lastModifiedBy>
  <dcterms:modified xsi:type="dcterms:W3CDTF">2025-09-30T22:04:55Z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A068679945CC4B76B1176F0EB35DEBB4_11</vt:lpwstr>
  </property>
</Properties>
</file>