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32"/>
        </w:rPr>
        <w:t>Dropshipping Inventory and Order Orchestrator</w:t>
      </w:r>
    </w:p>
    <w:p>
      <w:pPr>
        <w:spacing w:after="160"/>
        <w:jc w:val="center"/>
      </w:pPr>
      <w:r>
        <w:rPr>
          <w:rFonts w:ascii="Arial" w:hAnsi="Arial"/>
          <w:b w:val="0"/>
          <w:color w:val="505050"/>
          <w:sz w:val="20"/>
        </w:rPr>
        <w:t>Architecture Selection and Justification</w:t>
      </w:r>
    </w:p>
    <w:p>
      <w:pPr>
        <w:spacing w:after="80"/>
      </w:pPr>
      <w:r>
        <w:rPr>
          <w:rFonts w:ascii="Arial" w:hAnsi="Arial"/>
          <w:b/>
          <w:color w:val="17365D"/>
          <w:sz w:val="22"/>
        </w:rPr>
        <w:t>Selected architecture: Microservices</w:t>
      </w:r>
    </w:p>
    <w:p>
      <w:pPr>
        <w:spacing w:after="100" w:line="252" w:lineRule="auto"/>
      </w:pPr>
      <w:r>
        <w:rPr>
          <w:rFonts w:ascii="Arial" w:hAnsi="Arial"/>
          <w:b w:val="0"/>
          <w:sz w:val="19"/>
        </w:rPr>
        <w:t>Microservices is the best fit because the system must accept storefront webhooks quickly, query multiple supplier APIs in real time, split multi-vendor orders, and track deliveries. These responsibilities have different workloads, failure modes, and external dependencies. Separating them enables targeted scaling and avoids making supplier outages block the webhook acknowledgement path.</w:t>
      </w:r>
    </w:p>
    <w:p>
      <w:pPr>
        <w:spacing w:after="60"/>
      </w:pPr>
      <w:r>
        <w:rPr>
          <w:rFonts w:ascii="Arial" w:hAnsi="Arial"/>
          <w:b/>
          <w:color w:val="17365D"/>
          <w:sz w:val="22"/>
        </w:rPr>
        <w:t>Comparison of architectural styles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800"/>
            <w:shd w:fill="17365D"/>
            <w:vAlign w:val="center"/>
            <w:tcMar>
              <w:top w:w="90" w:type="dxa"/>
              <w:start w:w="90" w:type="dxa"/>
              <w:bottom w:w="90" w:type="dxa"/>
              <w:end w:w="90" w:type="dxa"/>
            </w:tcMar>
          </w:tcPr>
          <w:p>
            <w:pPr>
              <w:jc w:val="center"/>
            </w:pPr>
            <w:r>
              <w:rPr>
                <w:rFonts w:ascii="Arial" w:hAnsi="Arial"/>
                <w:b/>
                <w:color w:val="FFFFFF"/>
                <w:sz w:val="17"/>
              </w:rPr>
              <w:t>Style</w:t>
            </w:r>
          </w:p>
        </w:tc>
        <w:tc>
          <w:tcPr>
            <w:tcW w:type="dxa" w:w="3528"/>
            <w:shd w:fill="17365D"/>
            <w:vAlign w:val="center"/>
            <w:tcMar>
              <w:top w:w="90" w:type="dxa"/>
              <w:start w:w="90" w:type="dxa"/>
              <w:bottom w:w="90" w:type="dxa"/>
              <w:end w:w="90" w:type="dxa"/>
            </w:tcMar>
          </w:tcPr>
          <w:p>
            <w:pPr>
              <w:jc w:val="center"/>
            </w:pPr>
            <w:r>
              <w:rPr>
                <w:rFonts w:ascii="Arial" w:hAnsi="Arial"/>
                <w:b/>
                <w:color w:val="FFFFFF"/>
                <w:sz w:val="17"/>
              </w:rPr>
              <w:t>Fit for this system</w:t>
            </w:r>
          </w:p>
        </w:tc>
        <w:tc>
          <w:tcPr>
            <w:tcW w:type="dxa" w:w="3528"/>
            <w:shd w:fill="17365D"/>
            <w:vAlign w:val="center"/>
            <w:tcMar>
              <w:top w:w="90" w:type="dxa"/>
              <w:start w:w="90" w:type="dxa"/>
              <w:bottom w:w="90" w:type="dxa"/>
              <w:end w:w="90" w:type="dxa"/>
            </w:tcMar>
          </w:tcPr>
          <w:p>
            <w:pPr>
              <w:jc w:val="center"/>
            </w:pPr>
            <w:r>
              <w:rPr>
                <w:rFonts w:ascii="Arial" w:hAnsi="Arial"/>
                <w:b/>
                <w:color w:val="FFFFFF"/>
                <w:sz w:val="17"/>
              </w:rPr>
              <w:t>Decision</w:t>
            </w:r>
          </w:p>
        </w:tc>
      </w:tr>
      <w:tr>
        <w:tc>
          <w:tcPr>
            <w:tcW w:type="dxa" w:w="1800"/>
            <w:tcMar>
              <w:top w:w="90" w:type="dxa"/>
              <w:start w:w="90" w:type="dxa"/>
              <w:bottom w:w="90" w:type="dxa"/>
              <w:end w:w="90" w:type="dxa"/>
            </w:tcMar>
            <w:vAlign w:val="center"/>
            <w:shd w:fill="EEF3F8"/>
          </w:tcPr>
          <w:p>
            <w:pPr>
              <w:jc w:val="center"/>
            </w:pPr>
            <w:r>
              <w:rPr>
                <w:rFonts w:ascii="Arial" w:hAnsi="Arial"/>
                <w:b w:val="0"/>
                <w:sz w:val="16"/>
              </w:rPr>
              <w:t>Layered</w:t>
            </w:r>
          </w:p>
        </w:tc>
        <w:tc>
          <w:tcPr>
            <w:tcW w:type="dxa" w:w="3528"/>
            <w:tcMar>
              <w:top w:w="90" w:type="dxa"/>
              <w:start w:w="90" w:type="dxa"/>
              <w:bottom w:w="90" w:type="dxa"/>
              <w:end w:w="90" w:type="dxa"/>
            </w:tcMar>
            <w:vAlign w:val="center"/>
            <w:shd w:fill="EEF3F8"/>
          </w:tcPr>
          <w:p>
            <w:pPr>
              <w:jc w:val="left"/>
            </w:pPr>
            <w:r>
              <w:rPr>
                <w:rFonts w:ascii="Arial" w:hAnsi="Arial"/>
                <w:b w:val="0"/>
                <w:sz w:val="16"/>
              </w:rPr>
              <w:t>Clear separation, but a shared deployment makes supplier integration changes and selective scaling harder.</w:t>
            </w:r>
          </w:p>
        </w:tc>
        <w:tc>
          <w:tcPr>
            <w:tcW w:type="dxa" w:w="3528"/>
            <w:tcMar>
              <w:top w:w="90" w:type="dxa"/>
              <w:start w:w="90" w:type="dxa"/>
              <w:bottom w:w="90" w:type="dxa"/>
              <w:end w:w="90" w:type="dxa"/>
            </w:tcMar>
            <w:vAlign w:val="center"/>
            <w:shd w:fill="EEF3F8"/>
          </w:tcPr>
          <w:p>
            <w:pPr>
              <w:jc w:val="center"/>
            </w:pPr>
            <w:r>
              <w:rPr>
                <w:rFonts w:ascii="Arial" w:hAnsi="Arial"/>
                <w:b w:val="0"/>
                <w:sz w:val="16"/>
              </w:rPr>
              <w:t>Not selected</w:t>
            </w:r>
          </w:p>
        </w:tc>
      </w:tr>
      <w:tr>
        <w:tc>
          <w:tcPr>
            <w:tcW w:type="dxa" w:w="1800"/>
            <w:tcMar>
              <w:top w:w="90" w:type="dxa"/>
              <w:start w:w="90" w:type="dxa"/>
              <w:bottom w:w="90" w:type="dxa"/>
              <w:end w:w="90" w:type="dxa"/>
            </w:tcMar>
            <w:vAlign w:val="center"/>
          </w:tcPr>
          <w:p>
            <w:pPr>
              <w:jc w:val="center"/>
            </w:pPr>
            <w:r>
              <w:rPr>
                <w:rFonts w:ascii="Arial" w:hAnsi="Arial"/>
                <w:b w:val="0"/>
                <w:sz w:val="16"/>
              </w:rPr>
              <w:t>Client Server</w:t>
            </w:r>
          </w:p>
        </w:tc>
        <w:tc>
          <w:tcPr>
            <w:tcW w:type="dxa" w:w="3528"/>
            <w:tcMar>
              <w:top w:w="90" w:type="dxa"/>
              <w:start w:w="90" w:type="dxa"/>
              <w:bottom w:w="90" w:type="dxa"/>
              <w:end w:w="90" w:type="dxa"/>
            </w:tcMar>
            <w:vAlign w:val="center"/>
          </w:tcPr>
          <w:p>
            <w:pPr>
              <w:jc w:val="left"/>
            </w:pPr>
            <w:r>
              <w:rPr>
                <w:rFonts w:ascii="Arial" w:hAnsi="Arial"/>
                <w:b w:val="0"/>
                <w:sz w:val="16"/>
              </w:rPr>
              <w:t>Simple central control, but the central server becomes a bottleneck and weak point during supplier or traffic spikes.</w:t>
            </w:r>
          </w:p>
        </w:tc>
        <w:tc>
          <w:tcPr>
            <w:tcW w:type="dxa" w:w="3528"/>
            <w:tcMar>
              <w:top w:w="90" w:type="dxa"/>
              <w:start w:w="90" w:type="dxa"/>
              <w:bottom w:w="90" w:type="dxa"/>
              <w:end w:w="90" w:type="dxa"/>
            </w:tcMar>
            <w:vAlign w:val="center"/>
          </w:tcPr>
          <w:p>
            <w:pPr>
              <w:jc w:val="center"/>
            </w:pPr>
            <w:r>
              <w:rPr>
                <w:rFonts w:ascii="Arial" w:hAnsi="Arial"/>
                <w:b w:val="0"/>
                <w:sz w:val="16"/>
              </w:rPr>
              <w:t>Not selected</w:t>
            </w:r>
          </w:p>
        </w:tc>
      </w:tr>
      <w:tr>
        <w:tc>
          <w:tcPr>
            <w:tcW w:type="dxa" w:w="1800"/>
            <w:tcMar>
              <w:top w:w="90" w:type="dxa"/>
              <w:start w:w="90" w:type="dxa"/>
              <w:bottom w:w="90" w:type="dxa"/>
              <w:end w:w="90" w:type="dxa"/>
            </w:tcMar>
            <w:vAlign w:val="center"/>
            <w:shd w:fill="EEF3F8"/>
          </w:tcPr>
          <w:p>
            <w:pPr>
              <w:jc w:val="center"/>
            </w:pPr>
            <w:r>
              <w:rPr>
                <w:rFonts w:ascii="Arial" w:hAnsi="Arial"/>
                <w:b w:val="0"/>
                <w:sz w:val="16"/>
              </w:rPr>
              <w:t>Microservices</w:t>
            </w:r>
          </w:p>
        </w:tc>
        <w:tc>
          <w:tcPr>
            <w:tcW w:type="dxa" w:w="3528"/>
            <w:tcMar>
              <w:top w:w="90" w:type="dxa"/>
              <w:start w:w="90" w:type="dxa"/>
              <w:bottom w:w="90" w:type="dxa"/>
              <w:end w:w="90" w:type="dxa"/>
            </w:tcMar>
            <w:vAlign w:val="center"/>
            <w:shd w:fill="EEF3F8"/>
          </w:tcPr>
          <w:p>
            <w:pPr>
              <w:jc w:val="left"/>
            </w:pPr>
            <w:r>
              <w:rPr>
                <w:rFonts w:ascii="Arial" w:hAnsi="Arial"/>
                <w:b w:val="0"/>
                <w:sz w:val="16"/>
              </w:rPr>
              <w:t>Independent services isolate supplier failures and allow gateway, inventory, and tracking workloads to scale separately.</w:t>
            </w:r>
          </w:p>
        </w:tc>
        <w:tc>
          <w:tcPr>
            <w:tcW w:type="dxa" w:w="3528"/>
            <w:tcMar>
              <w:top w:w="90" w:type="dxa"/>
              <w:start w:w="90" w:type="dxa"/>
              <w:bottom w:w="90" w:type="dxa"/>
              <w:end w:w="90" w:type="dxa"/>
            </w:tcMar>
            <w:vAlign w:val="center"/>
            <w:shd w:fill="EEF3F8"/>
          </w:tcPr>
          <w:p>
            <w:pPr>
              <w:jc w:val="center"/>
            </w:pPr>
            <w:r>
              <w:rPr>
                <w:rFonts w:ascii="Arial" w:hAnsi="Arial"/>
                <w:b/>
                <w:sz w:val="16"/>
              </w:rPr>
              <w:t>Selected</w:t>
            </w:r>
          </w:p>
        </w:tc>
      </w:tr>
    </w:tbl>
    <w:p>
      <w:pPr>
        <w:spacing w:before="140" w:after="60"/>
      </w:pPr>
      <w:r>
        <w:rPr>
          <w:rFonts w:ascii="Arial" w:hAnsi="Arial"/>
          <w:b/>
          <w:color w:val="17365D"/>
          <w:sz w:val="22"/>
        </w:rPr>
        <w:t>Component responsibilities and interfaces</w:t>
      </w:r>
    </w:p>
    <w:p>
      <w:pPr>
        <w:spacing w:after="100" w:line="252" w:lineRule="auto"/>
      </w:pPr>
      <w:r>
        <w:rPr>
          <w:rFonts w:ascii="Arial" w:hAnsi="Arial"/>
          <w:b w:val="0"/>
          <w:sz w:val="19"/>
        </w:rPr>
        <w:t>The Webhook Gateway validates signatures and returns HTTP 200 promptly through IOrderWebhook. The Order Orchestrator owns order splitting and requests IInventoryCheck from the Inventory Service. The Supplier Adapter exposes ISupplierCatalog and hides supplier-specific API differences. The Purchase Order Service uses IPurchaseOrder to dispatch vendor orders, while the Tracking Service handles ITrackingUpdate. The Order Store persists lifecycle state, and the Message Broker carries order events so downstream processing is decoupled.</w:t>
      </w:r>
    </w:p>
    <w:p>
      <w:pPr>
        <w:spacing w:before="120" w:after="60"/>
      </w:pPr>
      <w:r>
        <w:rPr>
          <w:rFonts w:ascii="Arial" w:hAnsi="Arial"/>
          <w:b/>
          <w:color w:val="17365D"/>
          <w:sz w:val="22"/>
        </w:rPr>
        <w:t>Security and performance implications</w:t>
      </w:r>
    </w:p>
    <w:p>
      <w:pPr>
        <w:spacing w:after="100" w:line="252" w:lineRule="auto"/>
      </w:pPr>
      <w:r>
        <w:rPr>
          <w:rFonts w:ascii="Arial" w:hAnsi="Arial"/>
          <w:b w:val="0"/>
          <w:sz w:val="19"/>
        </w:rPr>
        <w:t>Webhook signature verification, idempotency keys, rate limiting, least-privilege service credentials, encrypted supplier tokens, and audit logs protect the integration boundary. The gateway can acknowledge a valid webhook before asynchronous processing, helping meet the 200 ms target. Timeouts, retries with backoff, circuit breakers, and a dead-letter queue prevent an unavailable supplier from cascading into order loss. Distributed tracing and correlation IDs make multi-service failures diagnosable.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