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36A6F"/>
          <w:sz w:val="19"/>
        </w:rPr>
        <w:t>PROJECT REPORT</w:t>
      </w:r>
    </w:p>
    <w:p>
      <w:pPr>
        <w:spacing w:after="120"/>
      </w:pPr>
      <w:r>
        <w:rPr>
          <w:rFonts w:ascii="Calibri" w:hAnsi="Calibri"/>
          <w:b/>
          <w:i w:val="0"/>
          <w:color w:val="15202B"/>
          <w:sz w:val="52"/>
        </w:rPr>
        <w:t>Invoice AI</w:t>
      </w:r>
    </w:p>
    <w:p>
      <w:pPr>
        <w:spacing w:after="280"/>
      </w:pPr>
      <w:r>
        <w:rPr>
          <w:rFonts w:ascii="Calibri" w:hAnsi="Calibri"/>
          <w:b w:val="0"/>
          <w:i w:val="0"/>
          <w:color w:val="5B6875"/>
          <w:sz w:val="24"/>
        </w:rPr>
        <w:t>An invoice extraction pipeline that scores its own reliability and learns from reviewer corrections. What was built, what it measures, what remains blocked, and where the effort should go next.</w:t>
      </w:r>
    </w:p>
    <w:tbl>
      <w:tblPr>
        <w:tblStyle w:val="LightGrid-Accent1"/>
        <w:tblW w:type="auto" w:w="0"/>
        <w:jc w:val="left"/>
        <w:tblLook w:firstColumn="1" w:firstRow="1" w:lastColumn="0" w:lastRow="0" w:noHBand="0" w:noVBand="1" w:val="04A0"/>
      </w:tblPr>
      <w:tblGrid>
        <w:gridCol w:w="4320"/>
        <w:gridCol w:w="4320"/>
      </w:tblGrid>
      <w:tr>
        <w:tc>
          <w:tcPr>
            <w:tcW w:type="dxa" w:w="4896"/>
          </w:tcPr>
          <w:p>
            <w:r/>
            <w:r>
              <w:rPr>
                <w:rFonts w:ascii="Calibri" w:hAnsi="Calibri"/>
                <w:b/>
                <w:i w:val="0"/>
                <w:color w:val="15202B"/>
                <w:sz w:val="20"/>
              </w:rPr>
              <w:t>Headline</w:t>
            </w:r>
          </w:p>
        </w:tc>
        <w:tc>
          <w:tcPr>
            <w:tcW w:type="dxa" w:w="2016"/>
          </w:tcPr>
          <w:p>
            <w:r/>
            <w:r>
              <w:rPr>
                <w:rFonts w:ascii="Calibri" w:hAnsi="Calibri"/>
                <w:b/>
                <w:i w:val="0"/>
                <w:color w:val="15202B"/>
                <w:sz w:val="20"/>
              </w:rPr>
              <w:t>Value</w:t>
            </w:r>
          </w:p>
        </w:tc>
      </w:tr>
      <w:tr>
        <w:tc>
          <w:tcPr>
            <w:tcW w:type="dxa" w:w="4896"/>
          </w:tcPr>
          <w:p>
            <w:r/>
            <w:r>
              <w:rPr>
                <w:rFonts w:ascii="Calibri" w:hAnsi="Calibri"/>
                <w:b w:val="0"/>
                <w:i w:val="0"/>
                <w:color w:val="15202B"/>
                <w:sz w:val="20"/>
              </w:rPr>
              <w:t>Totals extracted correctly</w:t>
            </w:r>
          </w:p>
        </w:tc>
        <w:tc>
          <w:tcPr>
            <w:tcW w:type="dxa" w:w="2016"/>
          </w:tcPr>
          <w:p>
            <w:pPr>
              <w:jc w:val="right"/>
            </w:pPr>
            <w:r/>
            <w:r>
              <w:rPr>
                <w:rFonts w:ascii="Consolas" w:hAnsi="Consolas"/>
                <w:b w:val="0"/>
                <w:i w:val="0"/>
                <w:color w:val="15202B"/>
                <w:sz w:val="20"/>
              </w:rPr>
              <w:t>99%</w:t>
            </w:r>
          </w:p>
        </w:tc>
      </w:tr>
      <w:tr>
        <w:tc>
          <w:tcPr>
            <w:tcW w:type="dxa" w:w="4896"/>
          </w:tcPr>
          <w:p>
            <w:r/>
            <w:r>
              <w:rPr>
                <w:rFonts w:ascii="Calibri" w:hAnsi="Calibri"/>
                <w:b w:val="0"/>
                <w:i w:val="0"/>
                <w:color w:val="15202B"/>
                <w:sz w:val="20"/>
              </w:rPr>
              <w:t>Best model balanced accuracy</w:t>
            </w:r>
          </w:p>
        </w:tc>
        <w:tc>
          <w:tcPr>
            <w:tcW w:type="dxa" w:w="2016"/>
          </w:tcPr>
          <w:p>
            <w:pPr>
              <w:jc w:val="right"/>
            </w:pPr>
            <w:r/>
            <w:r>
              <w:rPr>
                <w:rFonts w:ascii="Consolas" w:hAnsi="Consolas"/>
                <w:b w:val="0"/>
                <w:i w:val="0"/>
                <w:color w:val="15202B"/>
                <w:sz w:val="20"/>
              </w:rPr>
              <w:t>0.99</w:t>
            </w:r>
          </w:p>
        </w:tc>
      </w:tr>
      <w:tr>
        <w:tc>
          <w:tcPr>
            <w:tcW w:type="dxa" w:w="4896"/>
          </w:tcPr>
          <w:p>
            <w:r/>
            <w:r>
              <w:rPr>
                <w:rFonts w:ascii="Calibri" w:hAnsi="Calibri"/>
                <w:b w:val="0"/>
                <w:i w:val="0"/>
                <w:color w:val="15202B"/>
                <w:sz w:val="20"/>
              </w:rPr>
              <w:t>Annotated invoices benchmarked</w:t>
            </w:r>
          </w:p>
        </w:tc>
        <w:tc>
          <w:tcPr>
            <w:tcW w:type="dxa" w:w="2016"/>
          </w:tcPr>
          <w:p>
            <w:pPr>
              <w:jc w:val="right"/>
            </w:pPr>
            <w:r/>
            <w:r>
              <w:rPr>
                <w:rFonts w:ascii="Consolas" w:hAnsi="Consolas"/>
                <w:b w:val="0"/>
                <w:i w:val="0"/>
                <w:color w:val="15202B"/>
                <w:sz w:val="20"/>
              </w:rPr>
              <w:t>414</w:t>
            </w:r>
          </w:p>
        </w:tc>
      </w:tr>
      <w:tr>
        <w:tc>
          <w:tcPr>
            <w:tcW w:type="dxa" w:w="4896"/>
          </w:tcPr>
          <w:p>
            <w:r/>
            <w:r>
              <w:rPr>
                <w:rFonts w:ascii="Calibri" w:hAnsi="Calibri"/>
                <w:b w:val="0"/>
                <w:i w:val="0"/>
                <w:color w:val="15202B"/>
                <w:sz w:val="20"/>
              </w:rPr>
              <w:t>Fields on trained models</w:t>
            </w:r>
          </w:p>
        </w:tc>
        <w:tc>
          <w:tcPr>
            <w:tcW w:type="dxa" w:w="2016"/>
          </w:tcPr>
          <w:p>
            <w:pPr>
              <w:jc w:val="right"/>
            </w:pPr>
            <w:r/>
            <w:r>
              <w:rPr>
                <w:rFonts w:ascii="Consolas" w:hAnsi="Consolas"/>
                <w:b w:val="0"/>
                <w:i w:val="0"/>
                <w:color w:val="15202B"/>
                <w:sz w:val="20"/>
              </w:rPr>
              <w:t>2 of 5</w:t>
            </w:r>
          </w:p>
        </w:tc>
      </w:tr>
    </w:tbl>
    <w:p>
      <w:pPr>
        <w:spacing w:after="40"/>
      </w:pPr>
    </w:p>
    <w:p>
      <w:pPr>
        <w:spacing w:before="400" w:after="80"/>
      </w:pPr>
      <w:r>
        <w:rPr>
          <w:rFonts w:ascii="Calibri" w:hAnsi="Calibri"/>
          <w:b/>
          <w:i w:val="0"/>
          <w:color w:val="15202B"/>
          <w:sz w:val="32"/>
        </w:rPr>
        <w:t>What the system does</w:t>
      </w:r>
    </w:p>
    <w:p>
      <w:pPr>
        <w:spacing w:after="160"/>
      </w:pPr>
      <w:r>
        <w:rPr>
          <w:rFonts w:ascii="Calibri" w:hAnsi="Calibri"/>
          <w:b w:val="0"/>
          <w:i w:val="0"/>
          <w:color w:val="15202B"/>
          <w:sz w:val="22"/>
        </w:rPr>
        <w:t>An invoice arrives as an image or text file. The system reads it, pulls out the fields accounting needs, and states how much each one should be trusted.</w:t>
      </w:r>
    </w:p>
    <w:p>
      <w:pPr>
        <w:spacing w:after="160"/>
      </w:pPr>
      <w:r>
        <w:rPr>
          <w:rFonts w:ascii="Calibri" w:hAnsi="Calibri"/>
          <w:b w:val="0"/>
          <w:i w:val="0"/>
          <w:color w:val="15202B"/>
          <w:sz w:val="22"/>
        </w:rPr>
        <w:t>Fields scoring at or above 90% confidence are auto-approved; anything below is flagged for a human. Every review then feeds back in: whether a reviewer accepted a field untouched or corrected it becomes a training label, so the scores sharpen with use.</w:t>
      </w:r>
    </w:p>
    <w:p>
      <w:pPr>
        <w:spacing w:after="160"/>
      </w:pPr>
      <w:r>
        <w:rPr>
          <w:rFonts w:ascii="Calibri" w:hAnsi="Calibri"/>
          <w:b w:val="0"/>
          <w:i w:val="0"/>
          <w:color w:val="15202B"/>
          <w:sz w:val="22"/>
        </w:rPr>
        <w:t>Three things are learned from a single correction. The corrected value is remembered and reapplied when that document reappears, matched by a content fingerprint rather than filename. The label sitting beside it - “Gesamtbetrag”, say - becomes a candidate extraction pattern, adopted after three independent confirmations. And the accept-or-edit decision retrains that field's confidence model.</w:t>
      </w:r>
    </w:p>
    <w:p>
      <w:pPr>
        <w:spacing w:before="400" w:after="80"/>
      </w:pPr>
      <w:r>
        <w:rPr>
          <w:rFonts w:ascii="Calibri" w:hAnsi="Calibri"/>
          <w:b/>
          <w:i w:val="0"/>
          <w:color w:val="15202B"/>
          <w:sz w:val="32"/>
        </w:rPr>
        <w:t>Measured results</w:t>
      </w:r>
    </w:p>
    <w:p>
      <w:pPr>
        <w:spacing w:after="200"/>
      </w:pPr>
      <w:r>
        <w:rPr>
          <w:rFonts w:ascii="Calibri" w:hAnsi="Calibri"/>
          <w:b w:val="0"/>
          <w:i w:val="0"/>
          <w:color w:val="5B6875"/>
          <w:sz w:val="22"/>
        </w:rPr>
        <w:t>All figures below come from running the extractor over 414 annotated invoices and comparing against ground truth - not from confidence scores, which proved a poor proxy for correctness.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736"/>
          </w:tcPr>
          <w:p>
            <w:r/>
            <w:r>
              <w:rPr>
                <w:rFonts w:ascii="Calibri" w:hAnsi="Calibri"/>
                <w:b/>
                <w:i w:val="0"/>
                <w:color w:val="15202B"/>
                <w:sz w:val="20"/>
              </w:rPr>
              <w:t>Field</w:t>
            </w:r>
          </w:p>
        </w:tc>
        <w:tc>
          <w:tcPr>
            <w:tcW w:type="dxa" w:w="1872"/>
          </w:tcPr>
          <w:p>
            <w:r/>
            <w:r>
              <w:rPr>
                <w:rFonts w:ascii="Calibri" w:hAnsi="Calibri"/>
                <w:b/>
                <w:i w:val="0"/>
                <w:color w:val="15202B"/>
                <w:sz w:val="20"/>
              </w:rPr>
              <w:t>Correct</w:t>
            </w:r>
          </w:p>
        </w:tc>
        <w:tc>
          <w:tcPr>
            <w:tcW w:type="dxa" w:w="1296"/>
          </w:tcPr>
          <w:p>
            <w:r/>
            <w:r>
              <w:rPr>
                <w:rFonts w:ascii="Calibri" w:hAnsi="Calibri"/>
                <w:b/>
                <w:i w:val="0"/>
                <w:color w:val="15202B"/>
                <w:sz w:val="20"/>
              </w:rPr>
              <w:t>Rate</w:t>
            </w:r>
          </w:p>
        </w:tc>
        <w:tc>
          <w:tcPr>
            <w:tcW w:type="dxa" w:w="2016"/>
          </w:tcPr>
          <w:p>
            <w:r/>
            <w:r>
              <w:rPr>
                <w:rFonts w:ascii="Calibri" w:hAnsi="Calibri"/>
                <w:b/>
                <w:i w:val="0"/>
                <w:color w:val="15202B"/>
                <w:sz w:val="20"/>
              </w:rPr>
              <w:t>Scored by</w:t>
            </w:r>
          </w:p>
        </w:tc>
      </w:tr>
      <w:tr>
        <w:tc>
          <w:tcPr>
            <w:tcW w:type="dxa" w:w="2736"/>
          </w:tcPr>
          <w:p>
            <w:r/>
            <w:r>
              <w:rPr>
                <w:rFonts w:ascii="Calibri" w:hAnsi="Calibri"/>
                <w:b w:val="0"/>
                <w:i w:val="0"/>
                <w:color w:val="15202B"/>
                <w:sz w:val="20"/>
              </w:rPr>
              <w:t>Invoice number</w:t>
            </w:r>
          </w:p>
        </w:tc>
        <w:tc>
          <w:tcPr>
            <w:tcW w:type="dxa" w:w="1872"/>
          </w:tcPr>
          <w:p>
            <w:pPr>
              <w:jc w:val="right"/>
            </w:pPr>
            <w:r/>
            <w:r>
              <w:rPr>
                <w:rFonts w:ascii="Consolas" w:hAnsi="Consolas"/>
                <w:b w:val="0"/>
                <w:i w:val="0"/>
                <w:color w:val="15202B"/>
                <w:sz w:val="20"/>
              </w:rPr>
              <w:t>412 / 414</w:t>
            </w:r>
          </w:p>
        </w:tc>
        <w:tc>
          <w:tcPr>
            <w:tcW w:type="dxa" w:w="1296"/>
          </w:tcPr>
          <w:p>
            <w:pPr>
              <w:jc w:val="right"/>
            </w:pPr>
            <w:r/>
            <w:r>
              <w:rPr>
                <w:rFonts w:ascii="Consolas" w:hAnsi="Consolas"/>
                <w:b w:val="0"/>
                <w:i w:val="0"/>
                <w:color w:val="15202B"/>
                <w:sz w:val="20"/>
              </w:rPr>
              <w:t>99%</w:t>
            </w:r>
          </w:p>
        </w:tc>
        <w:tc>
          <w:tcPr>
            <w:tcW w:type="dxa" w:w="2016"/>
          </w:tcPr>
          <w:p>
            <w:r/>
            <w:r>
              <w:rPr>
                <w:rFonts w:ascii="Calibri" w:hAnsi="Calibri"/>
                <w:b w:val="0"/>
                <w:i w:val="0"/>
                <w:color w:val="15202B"/>
                <w:sz w:val="20"/>
              </w:rPr>
              <w:t>Heuristic</w:t>
            </w:r>
          </w:p>
        </w:tc>
      </w:tr>
      <w:tr>
        <w:tc>
          <w:tcPr>
            <w:tcW w:type="dxa" w:w="2736"/>
          </w:tcPr>
          <w:p>
            <w:r/>
            <w:r>
              <w:rPr>
                <w:rFonts w:ascii="Calibri" w:hAnsi="Calibri"/>
                <w:b w:val="0"/>
                <w:i w:val="0"/>
                <w:color w:val="15202B"/>
                <w:sz w:val="20"/>
              </w:rPr>
              <w:t>Total amount</w:t>
            </w:r>
          </w:p>
        </w:tc>
        <w:tc>
          <w:tcPr>
            <w:tcW w:type="dxa" w:w="1872"/>
          </w:tcPr>
          <w:p>
            <w:pPr>
              <w:jc w:val="right"/>
            </w:pPr>
            <w:r/>
            <w:r>
              <w:rPr>
                <w:rFonts w:ascii="Consolas" w:hAnsi="Consolas"/>
                <w:b w:val="0"/>
                <w:i w:val="0"/>
                <w:color w:val="15202B"/>
                <w:sz w:val="20"/>
              </w:rPr>
              <w:t>411 / 414</w:t>
            </w:r>
          </w:p>
        </w:tc>
        <w:tc>
          <w:tcPr>
            <w:tcW w:type="dxa" w:w="1296"/>
          </w:tcPr>
          <w:p>
            <w:pPr>
              <w:jc w:val="right"/>
            </w:pPr>
            <w:r/>
            <w:r>
              <w:rPr>
                <w:rFonts w:ascii="Consolas" w:hAnsi="Consolas"/>
                <w:b w:val="0"/>
                <w:i w:val="0"/>
                <w:color w:val="15202B"/>
                <w:sz w:val="20"/>
              </w:rPr>
              <w:t>99%</w:t>
            </w:r>
          </w:p>
        </w:tc>
        <w:tc>
          <w:tcPr>
            <w:tcW w:type="dxa" w:w="2016"/>
          </w:tcPr>
          <w:p>
            <w:r/>
            <w:r>
              <w:rPr>
                <w:rFonts w:ascii="Calibri" w:hAnsi="Calibri"/>
                <w:b w:val="0"/>
                <w:i w:val="0"/>
                <w:color w:val="15202B"/>
                <w:sz w:val="20"/>
              </w:rPr>
              <w:t>Heuristic</w:t>
            </w:r>
          </w:p>
        </w:tc>
      </w:tr>
      <w:tr>
        <w:tc>
          <w:tcPr>
            <w:tcW w:type="dxa" w:w="2736"/>
          </w:tcPr>
          <w:p>
            <w:r/>
            <w:r>
              <w:rPr>
                <w:rFonts w:ascii="Calibri" w:hAnsi="Calibri"/>
                <w:b w:val="0"/>
                <w:i w:val="0"/>
                <w:color w:val="15202B"/>
                <w:sz w:val="20"/>
              </w:rPr>
              <w:t>Invoice date</w:t>
            </w:r>
          </w:p>
        </w:tc>
        <w:tc>
          <w:tcPr>
            <w:tcW w:type="dxa" w:w="1872"/>
          </w:tcPr>
          <w:p>
            <w:pPr>
              <w:jc w:val="right"/>
            </w:pPr>
            <w:r/>
            <w:r>
              <w:rPr>
                <w:rFonts w:ascii="Consolas" w:hAnsi="Consolas"/>
                <w:b w:val="0"/>
                <w:i w:val="0"/>
                <w:color w:val="15202B"/>
                <w:sz w:val="20"/>
              </w:rPr>
              <w:t>336 / 414</w:t>
            </w:r>
          </w:p>
        </w:tc>
        <w:tc>
          <w:tcPr>
            <w:tcW w:type="dxa" w:w="1296"/>
          </w:tcPr>
          <w:p>
            <w:pPr>
              <w:jc w:val="right"/>
            </w:pPr>
            <w:r/>
            <w:r>
              <w:rPr>
                <w:rFonts w:ascii="Consolas" w:hAnsi="Consolas"/>
                <w:b w:val="0"/>
                <w:i w:val="0"/>
                <w:color w:val="15202B"/>
                <w:sz w:val="20"/>
              </w:rPr>
              <w:t>81%</w:t>
            </w:r>
          </w:p>
        </w:tc>
        <w:tc>
          <w:tcPr>
            <w:tcW w:type="dxa" w:w="2016"/>
          </w:tcPr>
          <w:p>
            <w:pPr>
              <w:jc w:val="right"/>
            </w:pPr>
            <w:r/>
            <w:r>
              <w:rPr>
                <w:rFonts w:ascii="Consolas" w:hAnsi="Consolas"/>
                <w:b w:val="0"/>
                <w:i w:val="0"/>
                <w:color w:val="15202B"/>
                <w:sz w:val="20"/>
              </w:rPr>
              <w:t>Model v1</w:t>
            </w:r>
          </w:p>
        </w:tc>
      </w:tr>
      <w:tr>
        <w:tc>
          <w:tcPr>
            <w:tcW w:type="dxa" w:w="2736"/>
          </w:tcPr>
          <w:p>
            <w:r/>
            <w:r>
              <w:rPr>
                <w:rFonts w:ascii="Calibri" w:hAnsi="Calibri"/>
                <w:b w:val="0"/>
                <w:i w:val="0"/>
                <w:color w:val="15202B"/>
                <w:sz w:val="20"/>
              </w:rPr>
              <w:t>Supplier</w:t>
            </w:r>
          </w:p>
        </w:tc>
        <w:tc>
          <w:tcPr>
            <w:tcW w:type="dxa" w:w="1872"/>
          </w:tcPr>
          <w:p>
            <w:pPr>
              <w:jc w:val="right"/>
            </w:pPr>
            <w:r/>
            <w:r>
              <w:rPr>
                <w:rFonts w:ascii="Consolas" w:hAnsi="Consolas"/>
                <w:b w:val="0"/>
                <w:i w:val="0"/>
                <w:color w:val="15202B"/>
                <w:sz w:val="20"/>
              </w:rPr>
              <w:t>110 / 414</w:t>
            </w:r>
          </w:p>
        </w:tc>
        <w:tc>
          <w:tcPr>
            <w:tcW w:type="dxa" w:w="1296"/>
          </w:tcPr>
          <w:p>
            <w:pPr>
              <w:jc w:val="right"/>
            </w:pPr>
            <w:r/>
            <w:r>
              <w:rPr>
                <w:rFonts w:ascii="Consolas" w:hAnsi="Consolas"/>
                <w:b w:val="0"/>
                <w:i w:val="0"/>
                <w:color w:val="15202B"/>
                <w:sz w:val="20"/>
              </w:rPr>
              <w:t>26%</w:t>
            </w:r>
          </w:p>
        </w:tc>
        <w:tc>
          <w:tcPr>
            <w:tcW w:type="dxa" w:w="2016"/>
          </w:tcPr>
          <w:p>
            <w:pPr>
              <w:jc w:val="right"/>
            </w:pPr>
            <w:r/>
            <w:r>
              <w:rPr>
                <w:rFonts w:ascii="Consolas" w:hAnsi="Consolas"/>
                <w:b w:val="0"/>
                <w:i w:val="0"/>
                <w:color w:val="15202B"/>
                <w:sz w:val="20"/>
              </w:rPr>
              <w:t>Model v2</w:t>
            </w:r>
          </w:p>
        </w:tc>
      </w:tr>
    </w:tbl>
    <w:p>
      <w:pPr>
        <w:spacing w:after="40"/>
      </w:pPr>
    </w:p>
    <w:p>
      <w:pPr>
        <w:spacing w:after="160"/>
      </w:pPr>
      <w:r>
        <w:rPr>
          <w:rFonts w:ascii="Calibri" w:hAnsi="Calibri"/>
          <w:b w:val="0"/>
          <w:i w:val="0"/>
          <w:color w:val="15202B"/>
          <w:sz w:val="22"/>
        </w:rPr>
        <w:t>The total began at 1%. It reached 99% once the extractor learned to find the summary block and confirm the figure against the invoice's own arithmetic - that subtotal plus tax equals the amount billed. That self-check turned out to be the strongest signal in the project, and it needs no machine learning at all.</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rFonts w:ascii="Calibri" w:hAnsi="Calibri"/>
                <w:b/>
                <w:i w:val="0"/>
                <w:color w:val="15202B"/>
                <w:sz w:val="20"/>
              </w:rPr>
              <w:t>Model</w:t>
            </w:r>
          </w:p>
        </w:tc>
        <w:tc>
          <w:tcPr>
            <w:tcW w:type="dxa" w:w="2016"/>
          </w:tcPr>
          <w:p>
            <w:r/>
            <w:r>
              <w:rPr>
                <w:rFonts w:ascii="Calibri" w:hAnsi="Calibri"/>
                <w:b/>
                <w:i w:val="0"/>
                <w:color w:val="15202B"/>
                <w:sz w:val="20"/>
              </w:rPr>
              <w:t>Training rows</w:t>
            </w:r>
          </w:p>
        </w:tc>
        <w:tc>
          <w:tcPr>
            <w:tcW w:type="dxa" w:w="2016"/>
          </w:tcPr>
          <w:p>
            <w:r/>
            <w:r>
              <w:rPr>
                <w:rFonts w:ascii="Calibri" w:hAnsi="Calibri"/>
                <w:b/>
                <w:i w:val="0"/>
                <w:color w:val="15202B"/>
                <w:sz w:val="20"/>
              </w:rPr>
              <w:t>Failures seen</w:t>
            </w:r>
          </w:p>
        </w:tc>
        <w:tc>
          <w:tcPr>
            <w:tcW w:type="dxa" w:w="2304"/>
          </w:tcPr>
          <w:p>
            <w:r/>
            <w:r>
              <w:rPr>
                <w:rFonts w:ascii="Calibri" w:hAnsi="Calibri"/>
                <w:b/>
                <w:i w:val="0"/>
                <w:color w:val="15202B"/>
                <w:sz w:val="20"/>
              </w:rPr>
              <w:t>Balanced accuracy</w:t>
            </w:r>
          </w:p>
        </w:tc>
      </w:tr>
      <w:tr>
        <w:tc>
          <w:tcPr>
            <w:tcW w:type="dxa" w:w="2448"/>
          </w:tcPr>
          <w:p>
            <w:r/>
            <w:r>
              <w:rPr>
                <w:rFonts w:ascii="Calibri" w:hAnsi="Calibri"/>
                <w:b w:val="0"/>
                <w:i w:val="0"/>
                <w:color w:val="15202B"/>
                <w:sz w:val="20"/>
              </w:rPr>
              <w:t>Invoice date v1</w:t>
            </w:r>
          </w:p>
        </w:tc>
        <w:tc>
          <w:tcPr>
            <w:tcW w:type="dxa" w:w="2016"/>
          </w:tcPr>
          <w:p>
            <w:pPr>
              <w:jc w:val="right"/>
            </w:pPr>
            <w:r/>
            <w:r>
              <w:rPr>
                <w:rFonts w:ascii="Consolas" w:hAnsi="Consolas"/>
                <w:b w:val="0"/>
                <w:i w:val="0"/>
                <w:color w:val="15202B"/>
                <w:sz w:val="20"/>
              </w:rPr>
              <w:t>414</w:t>
            </w:r>
          </w:p>
        </w:tc>
        <w:tc>
          <w:tcPr>
            <w:tcW w:type="dxa" w:w="2016"/>
          </w:tcPr>
          <w:p>
            <w:pPr>
              <w:jc w:val="right"/>
            </w:pPr>
            <w:r/>
            <w:r>
              <w:rPr>
                <w:rFonts w:ascii="Consolas" w:hAnsi="Consolas"/>
                <w:b w:val="0"/>
                <w:i w:val="0"/>
                <w:color w:val="15202B"/>
                <w:sz w:val="20"/>
              </w:rPr>
              <w:t>78</w:t>
            </w:r>
          </w:p>
        </w:tc>
        <w:tc>
          <w:tcPr>
            <w:tcW w:type="dxa" w:w="2304"/>
          </w:tcPr>
          <w:p>
            <w:pPr>
              <w:jc w:val="right"/>
            </w:pPr>
            <w:r/>
            <w:r>
              <w:rPr>
                <w:rFonts w:ascii="Consolas" w:hAnsi="Consolas"/>
                <w:b w:val="0"/>
                <w:i w:val="0"/>
                <w:color w:val="15202B"/>
                <w:sz w:val="20"/>
              </w:rPr>
              <w:t>1.00</w:t>
            </w:r>
          </w:p>
        </w:tc>
      </w:tr>
      <w:tr>
        <w:tc>
          <w:tcPr>
            <w:tcW w:type="dxa" w:w="2448"/>
          </w:tcPr>
          <w:p>
            <w:r/>
            <w:r>
              <w:rPr>
                <w:rFonts w:ascii="Calibri" w:hAnsi="Calibri"/>
                <w:b w:val="0"/>
                <w:i w:val="0"/>
                <w:color w:val="15202B"/>
                <w:sz w:val="20"/>
              </w:rPr>
              <w:t>Supplier v2</w:t>
            </w:r>
          </w:p>
        </w:tc>
        <w:tc>
          <w:tcPr>
            <w:tcW w:type="dxa" w:w="2016"/>
          </w:tcPr>
          <w:p>
            <w:pPr>
              <w:jc w:val="right"/>
            </w:pPr>
            <w:r/>
            <w:r>
              <w:rPr>
                <w:rFonts w:ascii="Consolas" w:hAnsi="Consolas"/>
                <w:b w:val="0"/>
                <w:i w:val="0"/>
                <w:color w:val="15202B"/>
                <w:sz w:val="20"/>
              </w:rPr>
              <w:t>414</w:t>
            </w:r>
          </w:p>
        </w:tc>
        <w:tc>
          <w:tcPr>
            <w:tcW w:type="dxa" w:w="2016"/>
          </w:tcPr>
          <w:p>
            <w:pPr>
              <w:jc w:val="right"/>
            </w:pPr>
            <w:r/>
            <w:r>
              <w:rPr>
                <w:rFonts w:ascii="Consolas" w:hAnsi="Consolas"/>
                <w:b w:val="0"/>
                <w:i w:val="0"/>
                <w:color w:val="15202B"/>
                <w:sz w:val="20"/>
              </w:rPr>
              <w:t>304</w:t>
            </w:r>
          </w:p>
        </w:tc>
        <w:tc>
          <w:tcPr>
            <w:tcW w:type="dxa" w:w="2304"/>
          </w:tcPr>
          <w:p>
            <w:pPr>
              <w:jc w:val="right"/>
            </w:pPr>
            <w:r/>
            <w:r>
              <w:rPr>
                <w:rFonts w:ascii="Consolas" w:hAnsi="Consolas"/>
                <w:b w:val="0"/>
                <w:i w:val="0"/>
                <w:color w:val="15202B"/>
                <w:sz w:val="20"/>
              </w:rPr>
              <w:t>0.99</w:t>
            </w:r>
          </w:p>
        </w:tc>
      </w:tr>
    </w:tbl>
    <w:p>
      <w:pPr>
        <w:spacing w:after="40"/>
      </w:pPr>
    </w:p>
    <w:p>
      <w:pPr>
        <w:spacing w:after="160"/>
      </w:pPr>
      <w:r>
        <w:rPr>
          <w:rFonts w:ascii="Calibri" w:hAnsi="Calibri"/>
          <w:b w:val="0"/>
          <w:i w:val="0"/>
          <w:color w:val="15202B"/>
          <w:sz w:val="22"/>
        </w:rPr>
        <w:t>Both figures are cross-validated on held-out folds. A model only replaces the hand-written scoring if it clears 0.65 balanced accuracy there - a gate that has already done its job, rejecting a total-amount model that scored 0.019 and would have flagged nearly every correct invoice.</w:t>
      </w:r>
    </w:p>
    <w:p>
      <w:pPr>
        <w:spacing w:before="400" w:after="80"/>
      </w:pPr>
      <w:r>
        <w:rPr>
          <w:rFonts w:ascii="Calibri" w:hAnsi="Calibri"/>
          <w:b/>
          <w:i w:val="0"/>
          <w:color w:val="15202B"/>
          <w:sz w:val="32"/>
        </w:rPr>
        <w:t>What could not be done, and why</w:t>
      </w:r>
    </w:p>
    <w:p>
      <w:pPr>
        <w:spacing w:after="120"/>
      </w:pPr>
      <w:r>
        <w:rPr>
          <w:rFonts w:ascii="Calibri" w:hAnsi="Calibri"/>
          <w:b w:val="0"/>
          <w:i w:val="0"/>
          <w:color w:val="5B6875"/>
          <w:sz w:val="22"/>
        </w:rPr>
        <w:t>Four things were attempted and did not work. In each case the reason is worth more than the attempt.</w:t>
      </w:r>
    </w:p>
    <w:p>
      <w:pPr>
        <w:spacing w:before="240" w:after="40"/>
      </w:pPr>
      <w:r>
        <w:rPr>
          <w:rFonts w:ascii="Calibri" w:hAnsi="Calibri"/>
          <w:b/>
          <w:i w:val="0"/>
          <w:color w:val="15202B"/>
          <w:sz w:val="24"/>
        </w:rPr>
        <w:t>Supplier extraction stayed at 26%</w:t>
      </w:r>
      <w:r>
        <w:rPr>
          <w:rFonts w:ascii="Calibri" w:hAnsi="Calibri"/>
          <w:b/>
          <w:i w:val="0"/>
          <w:color w:val="9E3D3D"/>
          <w:sz w:val="19"/>
        </w:rPr>
        <w:t xml:space="preserve">   [UNRESOLVED]</w:t>
      </w:r>
    </w:p>
    <w:p>
      <w:pPr>
        <w:spacing w:after="120"/>
      </w:pPr>
      <w:r>
        <w:rPr>
          <w:rFonts w:ascii="Calibri" w:hAnsi="Calibri"/>
          <w:b w:val="0"/>
          <w:i w:val="0"/>
          <w:color w:val="15202B"/>
          <w:sz w:val="22"/>
        </w:rPr>
        <w:t>Every other field has an anchor: a keyword, a format, or arithmetic. A supplier name has none - the extractor takes whatever text follows “Bill To:” or “Seller:”, which on a two-column layout is frequently the adjacent column header rather than a company.</w:t>
      </w:r>
    </w:p>
    <w:p>
      <w:pPr>
        <w:spacing w:after="200"/>
        <w:ind w:left="360"/>
      </w:pPr>
      <w:r>
        <w:rPr>
          <w:rFonts w:ascii="Calibri" w:hAnsi="Calibri"/>
          <w:b w:val="0"/>
          <w:i/>
          <w:color w:val="5B6875"/>
          <w:sz w:val="21"/>
        </w:rPr>
        <w:t>Why it matters: supplier is weighted Very High, so its weakness pushes almost every invoice into review. The confidence model correctly learned to distrust the field - honest, but it does not reduce the review workload.</w:t>
      </w:r>
    </w:p>
    <w:p>
      <w:pPr>
        <w:spacing w:before="240" w:after="40"/>
      </w:pPr>
      <w:r>
        <w:rPr>
          <w:rFonts w:ascii="Calibri" w:hAnsi="Calibri"/>
          <w:b/>
          <w:i w:val="0"/>
          <w:color w:val="15202B"/>
          <w:sz w:val="24"/>
        </w:rPr>
        <w:t>Two fields never earned a trained model</w:t>
      </w:r>
      <w:r>
        <w:rPr>
          <w:rFonts w:ascii="Calibri" w:hAnsi="Calibri"/>
          <w:b/>
          <w:i w:val="0"/>
          <w:color w:val="A8641D"/>
          <w:sz w:val="19"/>
        </w:rPr>
        <w:t xml:space="preserve">   [BLOCKED BY DATA]</w:t>
      </w:r>
    </w:p>
    <w:p>
      <w:pPr>
        <w:spacing w:after="120"/>
      </w:pPr>
      <w:r>
        <w:rPr>
          <w:rFonts w:ascii="Calibri" w:hAnsi="Calibri"/>
          <w:b w:val="0"/>
          <w:i w:val="0"/>
          <w:color w:val="15202B"/>
          <w:sz w:val="22"/>
        </w:rPr>
        <w:t>Invoice number and total amount still use hand-written scores. The cause is counter-intuitive: extraction is too reliable. Across 414 invoices they failed only 2 and 3 times respectively - far below the 5 failures per class a model needs to learn any separation.</w:t>
      </w:r>
    </w:p>
    <w:p>
      <w:pPr>
        <w:spacing w:after="200"/>
        <w:ind w:left="360"/>
      </w:pPr>
      <w:r>
        <w:rPr>
          <w:rFonts w:ascii="Calibri" w:hAnsi="Calibri"/>
          <w:b w:val="0"/>
          <w:i/>
          <w:color w:val="5B6875"/>
          <w:sz w:val="21"/>
        </w:rPr>
        <w:t>Why it matters: the learning loop is sound, but a confidence model needs mistakes to learn from. These fields will stay on heuristics until real reviews supply genuine failures, which public datasets cannot.</w:t>
      </w:r>
    </w:p>
    <w:p>
      <w:pPr>
        <w:spacing w:before="240" w:after="40"/>
      </w:pPr>
      <w:r>
        <w:rPr>
          <w:rFonts w:ascii="Calibri" w:hAnsi="Calibri"/>
          <w:b/>
          <w:i w:val="0"/>
          <w:color w:val="15202B"/>
          <w:sz w:val="24"/>
        </w:rPr>
        <w:t>Image preprocessing raised confidence but not accuracy</w:t>
      </w:r>
      <w:r>
        <w:rPr>
          <w:rFonts w:ascii="Calibri" w:hAnsi="Calibri"/>
          <w:b/>
          <w:i w:val="0"/>
          <w:color w:val="9E3D3D"/>
          <w:sz w:val="19"/>
        </w:rPr>
        <w:t xml:space="preserve">   [DEAD END]</w:t>
      </w:r>
    </w:p>
    <w:p>
      <w:pPr>
        <w:spacing w:after="120"/>
      </w:pPr>
      <w:r>
        <w:rPr>
          <w:rFonts w:ascii="Calibri" w:hAnsi="Calibri"/>
          <w:b w:val="0"/>
          <w:i w:val="0"/>
          <w:color w:val="15202B"/>
          <w:sz w:val="22"/>
        </w:rPr>
        <w:t>A preprocessing tool was built - upscaling, deskew from text-line angle, contrast equalisation, denoise. It lifted OCR confidence substantially on poor scans (0.54 to 0.75). Extraction did not improve, and on one invoice it made the result worse.</w:t>
      </w:r>
    </w:p>
    <w:p>
      <w:pPr>
        <w:spacing w:after="200"/>
        <w:ind w:left="360"/>
      </w:pPr>
      <w:r>
        <w:rPr>
          <w:rFonts w:ascii="Calibri" w:hAnsi="Calibri"/>
          <w:b w:val="0"/>
          <w:i/>
          <w:color w:val="5B6875"/>
          <w:sz w:val="21"/>
        </w:rPr>
        <w:t>Why: the failing scans carry text 8 pixels tall, where OCR needs roughly 20-25. Enlarging interpolates - it makes characters bigger, not clearer. The information distinguishing a 2 from a 7 was destroyed when the image was captured, and nothing downstream recovers it.</w:t>
      </w:r>
    </w:p>
    <w:p>
      <w:pPr>
        <w:spacing w:before="240" w:after="40"/>
      </w:pPr>
      <w:r>
        <w:rPr>
          <w:rFonts w:ascii="Calibri" w:hAnsi="Calibri"/>
          <w:b/>
          <w:i w:val="0"/>
          <w:color w:val="15202B"/>
          <w:sz w:val="24"/>
        </w:rPr>
        <w:t>No spatial understanding of the page</w:t>
      </w:r>
      <w:r>
        <w:rPr>
          <w:rFonts w:ascii="Calibri" w:hAnsi="Calibri"/>
          <w:b/>
          <w:i w:val="0"/>
          <w:color w:val="A8641D"/>
          <w:sz w:val="19"/>
        </w:rPr>
        <w:t xml:space="preserve">   [BY DESIGN]</w:t>
      </w:r>
    </w:p>
    <w:p>
      <w:pPr>
        <w:spacing w:after="120"/>
      </w:pPr>
      <w:r>
        <w:rPr>
          <w:rFonts w:ascii="Calibri" w:hAnsi="Calibri"/>
          <w:b w:val="0"/>
          <w:i w:val="0"/>
          <w:color w:val="15202B"/>
          <w:sz w:val="22"/>
        </w:rPr>
        <w:t>The OCR engine returns a bounding box for every text region; the pipeline discards them and works purely on text. Layouts that place a value with no adjacent label - a total alone in a box top-right - cannot be handled.</w:t>
      </w:r>
    </w:p>
    <w:p>
      <w:pPr>
        <w:spacing w:after="200"/>
        <w:ind w:left="360"/>
      </w:pPr>
      <w:r>
        <w:rPr>
          <w:rFonts w:ascii="Calibri" w:hAnsi="Calibri"/>
          <w:b w:val="0"/>
          <w:i/>
          <w:color w:val="5B6875"/>
          <w:sz w:val="21"/>
        </w:rPr>
        <w:t>Why it stands: using position requires a layout-aware document model, which is a substantially different system. The text-only approach reached 99% on two fields, so the cost was not yet justified.</w:t>
      </w:r>
    </w:p>
    <w:p>
      <w:pPr>
        <w:spacing w:before="280" w:after="80"/>
      </w:pPr>
      <w:r>
        <w:rPr>
          <w:rFonts w:ascii="Calibri" w:hAnsi="Calibri"/>
          <w:b/>
          <w:i w:val="0"/>
          <w:color w:val="15202B"/>
          <w:sz w:val="25"/>
        </w:rPr>
        <w:t>The constraint underneath all of it</w:t>
      </w:r>
    </w:p>
    <w:p>
      <w:pPr>
        <w:spacing w:after="160"/>
      </w:pPr>
      <w:r>
        <w:rPr>
          <w:rFonts w:ascii="Calibri" w:hAnsi="Calibri"/>
          <w:b w:val="0"/>
          <w:i w:val="0"/>
          <w:color w:val="15202B"/>
          <w:sz w:val="22"/>
        </w:rPr>
        <w:t>Every extraction failure traced back to one variable. Resolution predicts success almost perfectly: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736"/>
          </w:tcPr>
          <w:p>
            <w:r/>
            <w:r>
              <w:rPr>
                <w:rFonts w:ascii="Calibri" w:hAnsi="Calibri"/>
                <w:b/>
                <w:i w:val="0"/>
                <w:color w:val="15202B"/>
                <w:sz w:val="20"/>
              </w:rPr>
              <w:t>Source image</w:t>
            </w:r>
          </w:p>
        </w:tc>
        <w:tc>
          <w:tcPr>
            <w:tcW w:type="dxa" w:w="1728"/>
          </w:tcPr>
          <w:p>
            <w:r/>
            <w:r>
              <w:rPr>
                <w:rFonts w:ascii="Calibri" w:hAnsi="Calibri"/>
                <w:b/>
                <w:i w:val="0"/>
                <w:color w:val="15202B"/>
                <w:sz w:val="20"/>
              </w:rPr>
              <w:t>Text height</w:t>
            </w:r>
          </w:p>
        </w:tc>
        <w:tc>
          <w:tcPr>
            <w:tcW w:type="dxa" w:w="2160"/>
          </w:tcPr>
          <w:p>
            <w:r/>
            <w:r>
              <w:rPr>
                <w:rFonts w:ascii="Calibri" w:hAnsi="Calibri"/>
                <w:b/>
                <w:i w:val="0"/>
                <w:color w:val="15202B"/>
                <w:sz w:val="20"/>
              </w:rPr>
              <w:t>OCR confidence</w:t>
            </w:r>
          </w:p>
        </w:tc>
        <w:tc>
          <w:tcPr>
            <w:tcW w:type="dxa" w:w="2160"/>
          </w:tcPr>
          <w:p>
            <w:r/>
            <w:r>
              <w:rPr>
                <w:rFonts w:ascii="Calibri" w:hAnsi="Calibri"/>
                <w:b/>
                <w:i w:val="0"/>
                <w:color w:val="15202B"/>
                <w:sz w:val="20"/>
              </w:rPr>
              <w:t>Fields extracted</w:t>
            </w:r>
          </w:p>
        </w:tc>
      </w:tr>
      <w:tr>
        <w:tc>
          <w:tcPr>
            <w:tcW w:type="dxa" w:w="2736"/>
          </w:tcPr>
          <w:p>
            <w:r/>
            <w:r>
              <w:rPr>
                <w:rFonts w:ascii="Calibri" w:hAnsi="Calibri"/>
                <w:b w:val="0"/>
                <w:i w:val="0"/>
                <w:color w:val="15202B"/>
                <w:sz w:val="20"/>
              </w:rPr>
              <w:t>640 x 640  (fails)</w:t>
            </w:r>
          </w:p>
        </w:tc>
        <w:tc>
          <w:tcPr>
            <w:tcW w:type="dxa" w:w="1728"/>
          </w:tcPr>
          <w:p>
            <w:pPr>
              <w:jc w:val="right"/>
            </w:pPr>
            <w:r/>
            <w:r>
              <w:rPr>
                <w:rFonts w:ascii="Consolas" w:hAnsi="Consolas"/>
                <w:b w:val="0"/>
                <w:i w:val="0"/>
                <w:color w:val="15202B"/>
                <w:sz w:val="20"/>
              </w:rPr>
              <w:t>8 px</w:t>
            </w:r>
          </w:p>
        </w:tc>
        <w:tc>
          <w:tcPr>
            <w:tcW w:type="dxa" w:w="2160"/>
          </w:tcPr>
          <w:p>
            <w:pPr>
              <w:jc w:val="right"/>
            </w:pPr>
            <w:r/>
            <w:r>
              <w:rPr>
                <w:rFonts w:ascii="Consolas" w:hAnsi="Consolas"/>
                <w:b w:val="0"/>
                <w:i w:val="0"/>
                <w:color w:val="15202B"/>
                <w:sz w:val="20"/>
              </w:rPr>
              <w:t>0.68</w:t>
            </w:r>
          </w:p>
        </w:tc>
        <w:tc>
          <w:tcPr>
            <w:tcW w:type="dxa" w:w="2160"/>
          </w:tcPr>
          <w:p>
            <w:pPr>
              <w:jc w:val="right"/>
            </w:pPr>
            <w:r/>
            <w:r>
              <w:rPr>
                <w:rFonts w:ascii="Consolas" w:hAnsi="Consolas"/>
                <w:b w:val="0"/>
                <w:i w:val="0"/>
                <w:color w:val="15202B"/>
                <w:sz w:val="20"/>
              </w:rPr>
              <w:t>2.0 / 3</w:t>
            </w:r>
          </w:p>
        </w:tc>
      </w:tr>
      <w:tr>
        <w:tc>
          <w:tcPr>
            <w:tcW w:type="dxa" w:w="2736"/>
          </w:tcPr>
          <w:p>
            <w:r/>
            <w:r>
              <w:rPr>
                <w:rFonts w:ascii="Calibri" w:hAnsi="Calibri"/>
                <w:b w:val="0"/>
                <w:i w:val="0"/>
                <w:color w:val="15202B"/>
                <w:sz w:val="20"/>
              </w:rPr>
              <w:t>1432 x 2048  (works)</w:t>
            </w:r>
          </w:p>
        </w:tc>
        <w:tc>
          <w:tcPr>
            <w:tcW w:type="dxa" w:w="1728"/>
          </w:tcPr>
          <w:p>
            <w:pPr>
              <w:jc w:val="right"/>
            </w:pPr>
            <w:r/>
            <w:r>
              <w:rPr>
                <w:rFonts w:ascii="Consolas" w:hAnsi="Consolas"/>
                <w:b w:val="0"/>
                <w:i w:val="0"/>
                <w:color w:val="15202B"/>
                <w:sz w:val="20"/>
              </w:rPr>
              <w:t>26 px</w:t>
            </w:r>
          </w:p>
        </w:tc>
        <w:tc>
          <w:tcPr>
            <w:tcW w:type="dxa" w:w="2160"/>
          </w:tcPr>
          <w:p>
            <w:pPr>
              <w:jc w:val="right"/>
            </w:pPr>
            <w:r/>
            <w:r>
              <w:rPr>
                <w:rFonts w:ascii="Consolas" w:hAnsi="Consolas"/>
                <w:b w:val="0"/>
                <w:i w:val="0"/>
                <w:color w:val="15202B"/>
                <w:sz w:val="20"/>
              </w:rPr>
              <w:t>0.86</w:t>
            </w:r>
          </w:p>
        </w:tc>
        <w:tc>
          <w:tcPr>
            <w:tcW w:type="dxa" w:w="2160"/>
          </w:tcPr>
          <w:p>
            <w:pPr>
              <w:jc w:val="right"/>
            </w:pPr>
            <w:r/>
            <w:r>
              <w:rPr>
                <w:rFonts w:ascii="Consolas" w:hAnsi="Consolas"/>
                <w:b w:val="0"/>
                <w:i w:val="0"/>
                <w:color w:val="15202B"/>
                <w:sz w:val="20"/>
              </w:rPr>
              <w:t>3.0 / 3</w:t>
            </w:r>
          </w:p>
        </w:tc>
      </w:tr>
    </w:tbl>
    <w:p>
      <w:pPr>
        <w:spacing w:after="40"/>
      </w:pPr>
    </w:p>
    <w:p>
      <w:pPr>
        <w:spacing w:after="160"/>
      </w:pPr>
      <w:r>
        <w:rPr>
          <w:rFonts w:ascii="Calibri" w:hAnsi="Calibri"/>
          <w:b w:val="0"/>
          <w:i w:val="0"/>
          <w:color w:val="15202B"/>
          <w:sz w:val="22"/>
        </w:rPr>
        <w:t>Invoices captured at normal resolution extract completely. The low-resolution images are an artefact of the public dataset used for testing, not of real documents - which makes this the cheapest problem on the list to eliminate.</w:t>
      </w:r>
    </w:p>
    <w:p>
      <w:r>
        <w:br w:type="page"/>
      </w:r>
    </w:p>
    <w:p>
      <w:pPr>
        <w:spacing w:before="400" w:after="80"/>
      </w:pPr>
      <w:r>
        <w:rPr>
          <w:rFonts w:ascii="Calibri" w:hAnsi="Calibri"/>
          <w:b/>
          <w:i w:val="0"/>
          <w:color w:val="15202B"/>
          <w:sz w:val="32"/>
        </w:rPr>
        <w:t>Recommendations</w:t>
      </w:r>
    </w:p>
    <w:p>
      <w:pPr>
        <w:spacing w:after="160"/>
      </w:pPr>
      <w:r>
        <w:rPr>
          <w:rFonts w:ascii="Calibri" w:hAnsi="Calibri"/>
          <w:b w:val="0"/>
          <w:i w:val="0"/>
          <w:color w:val="5B6875"/>
          <w:sz w:val="22"/>
        </w:rPr>
        <w:t>Ordered by return on effort. The first two require no code and would resolve more uncertainty than anything else on the list.</w:t>
      </w:r>
    </w:p>
    <w:p>
      <w:pPr>
        <w:spacing w:before="200" w:after="40"/>
      </w:pPr>
      <w:r>
        <w:rPr>
          <w:rFonts w:ascii="Calibri" w:hAnsi="Calibri"/>
          <w:b/>
          <w:i w:val="0"/>
          <w:color w:val="136A6F"/>
          <w:sz w:val="24"/>
        </w:rPr>
        <w:t xml:space="preserve">1.  </w:t>
      </w:r>
      <w:r>
        <w:rPr>
          <w:rFonts w:ascii="Calibri" w:hAnsi="Calibri"/>
          <w:b/>
          <w:i w:val="0"/>
          <w:color w:val="15202B"/>
          <w:sz w:val="24"/>
        </w:rPr>
        <w:t>Capture invoices at full resolution</w:t>
      </w:r>
    </w:p>
    <w:p>
      <w:pPr>
        <w:spacing w:after="60"/>
      </w:pPr>
      <w:r>
        <w:rPr>
          <w:rFonts w:ascii="Calibri" w:hAnsi="Calibri"/>
          <w:b w:val="0"/>
          <w:i w:val="0"/>
          <w:color w:val="15202B"/>
          <w:sz w:val="22"/>
        </w:rPr>
        <w:t>A phone photo (~12 MP) or a 300 DPI scan puts text far past the 26-pixel threshold where the system already extracts every field. This removes the binding constraint behind every failure observed so far.</w:t>
      </w:r>
    </w:p>
    <w:p>
      <w:pPr>
        <w:spacing w:after="120"/>
      </w:pPr>
      <w:r>
        <w:rPr>
          <w:rFonts w:ascii="Calibri" w:hAnsi="Calibri"/>
          <w:b/>
          <w:i w:val="0"/>
          <w:color w:val="5B6875"/>
          <w:sz w:val="19"/>
        </w:rPr>
        <w:t>No code · immediate effect</w:t>
      </w:r>
    </w:p>
    <w:p>
      <w:pPr>
        <w:spacing w:before="200" w:after="40"/>
      </w:pPr>
      <w:r>
        <w:rPr>
          <w:rFonts w:ascii="Calibri" w:hAnsi="Calibri"/>
          <w:b/>
          <w:i w:val="0"/>
          <w:color w:val="136A6F"/>
          <w:sz w:val="24"/>
        </w:rPr>
        <w:t xml:space="preserve">2.  </w:t>
      </w:r>
      <w:r>
        <w:rPr>
          <w:rFonts w:ascii="Calibri" w:hAnsi="Calibri"/>
          <w:b/>
          <w:i w:val="0"/>
          <w:color w:val="15202B"/>
          <w:sz w:val="24"/>
        </w:rPr>
        <w:t>Run twenty real invoices through the review app</w:t>
      </w:r>
    </w:p>
    <w:p>
      <w:pPr>
        <w:spacing w:after="60"/>
      </w:pPr>
      <w:r>
        <w:rPr>
          <w:rFonts w:ascii="Calibri" w:hAnsi="Calibri"/>
          <w:b w:val="0"/>
          <w:i w:val="0"/>
          <w:color w:val="15202B"/>
          <w:sz w:val="22"/>
        </w:rPr>
        <w:t>Everything measured so far used public datasets - synthetic templates and low-resolution photographs. Real documents would establish true accuracy, generate the failure examples the remaining models need, and reveal which layouts require new patterns.</w:t>
      </w:r>
    </w:p>
    <w:p>
      <w:pPr>
        <w:spacing w:after="120"/>
      </w:pPr>
      <w:r>
        <w:rPr>
          <w:rFonts w:ascii="Calibri" w:hAnsi="Calibri"/>
          <w:b/>
          <w:i w:val="0"/>
          <w:color w:val="5B6875"/>
          <w:sz w:val="19"/>
        </w:rPr>
        <w:t>No code · unblocks three of the findings above</w:t>
      </w:r>
    </w:p>
    <w:p>
      <w:pPr>
        <w:spacing w:before="200" w:after="40"/>
      </w:pPr>
      <w:r>
        <w:rPr>
          <w:rFonts w:ascii="Calibri" w:hAnsi="Calibri"/>
          <w:b/>
          <w:i w:val="0"/>
          <w:color w:val="136A6F"/>
          <w:sz w:val="24"/>
        </w:rPr>
        <w:t xml:space="preserve">3.  </w:t>
      </w:r>
      <w:r>
        <w:rPr>
          <w:rFonts w:ascii="Calibri" w:hAnsi="Calibri"/>
          <w:b/>
          <w:i w:val="0"/>
          <w:color w:val="15202B"/>
          <w:sz w:val="24"/>
        </w:rPr>
        <w:t>Rebuild supplier extraction</w:t>
      </w:r>
    </w:p>
    <w:p>
      <w:pPr>
        <w:spacing w:after="60"/>
      </w:pPr>
      <w:r>
        <w:rPr>
          <w:rFonts w:ascii="Calibri" w:hAnsi="Calibri"/>
          <w:b w:val="0"/>
          <w:i w:val="0"/>
          <w:color w:val="15202B"/>
          <w:sz w:val="22"/>
        </w:rPr>
        <w:t>The weakest field and the largest single source of unnecessary review. Rather than taking text adjacent to a keyword, identify candidate company names by their form - legal suffixes, position in the header block - and validate against suppliers already known from past corrections.</w:t>
      </w:r>
    </w:p>
    <w:p>
      <w:pPr>
        <w:spacing w:after="120"/>
      </w:pPr>
      <w:r>
        <w:rPr>
          <w:rFonts w:ascii="Calibri" w:hAnsi="Calibri"/>
          <w:b/>
          <w:i w:val="0"/>
          <w:color w:val="5B6875"/>
          <w:sz w:val="19"/>
        </w:rPr>
        <w:t>Focused engineering · reduces review volume</w:t>
      </w:r>
    </w:p>
    <w:p>
      <w:pPr>
        <w:spacing w:before="200" w:after="40"/>
      </w:pPr>
      <w:r>
        <w:rPr>
          <w:rFonts w:ascii="Calibri" w:hAnsi="Calibri"/>
          <w:b/>
          <w:i w:val="0"/>
          <w:color w:val="136A6F"/>
          <w:sz w:val="24"/>
        </w:rPr>
        <w:t xml:space="preserve">4.  </w:t>
      </w:r>
      <w:r>
        <w:rPr>
          <w:rFonts w:ascii="Calibri" w:hAnsi="Calibri"/>
          <w:b/>
          <w:i w:val="0"/>
          <w:color w:val="15202B"/>
          <w:sz w:val="24"/>
        </w:rPr>
        <w:t>Move the database to private hosting before real invoices</w:t>
      </w:r>
    </w:p>
    <w:p>
      <w:pPr>
        <w:spacing w:after="60"/>
      </w:pPr>
      <w:r>
        <w:rPr>
          <w:rFonts w:ascii="Calibri" w:hAnsi="Calibri"/>
          <w:b w:val="0"/>
          <w:i w:val="0"/>
          <w:color w:val="15202B"/>
          <w:sz w:val="22"/>
        </w:rPr>
        <w:t>The store keeps the OCR text of every document processed. Today that content comes from public datasets, so nothing sensitive is exposed; the moment real invoices flow through it, it will hold genuine bank and tax identifiers. A private repository, and a hosted database once more than one reviewer is involved.</w:t>
      </w:r>
    </w:p>
    <w:p>
      <w:pPr>
        <w:spacing w:after="120"/>
      </w:pPr>
      <w:r>
        <w:rPr>
          <w:rFonts w:ascii="Calibri" w:hAnsi="Calibri"/>
          <w:b/>
          <w:i w:val="0"/>
          <w:color w:val="5B6875"/>
          <w:sz w:val="19"/>
        </w:rPr>
        <w:t>Configuration · required before production use</w:t>
      </w:r>
    </w:p>
    <w:p>
      <w:pPr>
        <w:spacing w:before="200" w:after="40"/>
      </w:pPr>
      <w:r>
        <w:rPr>
          <w:rFonts w:ascii="Calibri" w:hAnsi="Calibri"/>
          <w:b/>
          <w:i w:val="0"/>
          <w:color w:val="136A6F"/>
          <w:sz w:val="24"/>
        </w:rPr>
        <w:t xml:space="preserve">5.  </w:t>
      </w:r>
      <w:r>
        <w:rPr>
          <w:rFonts w:ascii="Calibri" w:hAnsi="Calibri"/>
          <w:b/>
          <w:i w:val="0"/>
          <w:color w:val="15202B"/>
          <w:sz w:val="24"/>
        </w:rPr>
        <w:t>Consider a layout-aware model only if the above is insufficient</w:t>
      </w:r>
    </w:p>
    <w:p>
      <w:pPr>
        <w:spacing w:after="60"/>
      </w:pPr>
      <w:r>
        <w:rPr>
          <w:rFonts w:ascii="Calibri" w:hAnsi="Calibri"/>
          <w:b w:val="0"/>
          <w:i w:val="0"/>
          <w:color w:val="15202B"/>
          <w:sz w:val="22"/>
        </w:rPr>
        <w:t>A document model such as LayoutLM uses position as well as text and would handle unlabelled values. It is the correct answer to the spatial limitation - but it needs annotated data, greater compute, and is only justified once resolution and real-world testing have been exhausted.</w:t>
      </w:r>
    </w:p>
    <w:p>
      <w:pPr>
        <w:spacing w:after="120"/>
      </w:pPr>
      <w:r>
        <w:rPr>
          <w:rFonts w:ascii="Calibri" w:hAnsi="Calibri"/>
          <w:b/>
          <w:i w:val="0"/>
          <w:color w:val="5B6875"/>
          <w:sz w:val="19"/>
        </w:rPr>
        <w:t>Substantial · defer until evidence demands it</w:t>
      </w:r>
    </w:p>
    <w:p>
      <w:pPr>
        <w:spacing w:before="400" w:after="80"/>
      </w:pPr>
      <w:r>
        <w:rPr>
          <w:rFonts w:ascii="Calibri" w:hAnsi="Calibri"/>
          <w:b/>
          <w:i w:val="0"/>
          <w:color w:val="15202B"/>
          <w:sz w:val="32"/>
        </w:rPr>
        <w:t>Assessment</w:t>
      </w:r>
    </w:p>
    <w:p>
      <w:pPr>
        <w:spacing w:after="160"/>
      </w:pPr>
      <w:r>
        <w:rPr>
          <w:rFonts w:ascii="Calibri" w:hAnsi="Calibri"/>
          <w:b w:val="0"/>
          <w:i w:val="0"/>
          <w:color w:val="15202B"/>
          <w:sz w:val="22"/>
        </w:rPr>
        <w:t>The pipeline reaches 99% accuracy on the two highest-weighted fields and the learning loop is verified end to end - reviews are recorded, models retrain, and new layouts are absorbed from corrections without code changes. The quality gate has demonstrably prevented a bad model from reaching production.</w:t>
      </w:r>
    </w:p>
    <w:p>
      <w:pPr>
        <w:spacing w:after="160"/>
      </w:pPr>
      <w:r>
        <w:rPr>
          <w:rFonts w:ascii="Calibri" w:hAnsi="Calibri"/>
          <w:b w:val="0"/>
          <w:i w:val="0"/>
          <w:color w:val="15202B"/>
          <w:sz w:val="22"/>
        </w:rPr>
        <w:t>Its limits are equally clear, and they are mostly not modelling limits. Supplier extraction needs engineering, not data. Two fields need real failures before they can be learned. And the majority of observed errors would disappear with better source images. The most valuable next step is not a change to the system but twenty real invoices passed through it.</w:t>
      </w:r>
    </w:p>
    <w:p>
      <w:pPr>
        <w:spacing w:before="360"/>
      </w:pPr>
      <w:r>
        <w:rPr>
          <w:rFonts w:ascii="Calibri" w:hAnsi="Calibri"/>
          <w:b w:val="0"/>
          <w:i w:val="0"/>
          <w:color w:val="5B6875"/>
          <w:sz w:val="19"/>
        </w:rPr>
        <w:t>Python · EasyOCR/PyTorch · scikit-learn · OpenCV · SQLite   |   3,724 lines · 13 tests passing   |   github.com/notOK18/Invoice_ai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