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Segoe UI" w:hAnsi="Segoe UI"/>
          <w:b/>
          <w:color w:val="0176D3"/>
          <w:sz w:val="20"/>
        </w:rPr>
        <w:t>ENTERPRISE DATA OPERATIONS MANUAL</w:t>
      </w:r>
    </w:p>
    <w:p>
      <w:pPr>
        <w:spacing w:before="720" w:after="80"/>
        <w:jc w:val="center"/>
      </w:pPr>
      <w:r>
        <w:rPr>
          <w:rFonts w:ascii="Segoe UI" w:hAnsi="Segoe UI"/>
          <w:b/>
          <w:color w:val="0B2149"/>
          <w:sz w:val="52"/>
        </w:rPr>
        <w:t>⚡ Sitetracker Data Hub</w:t>
      </w:r>
    </w:p>
    <w:p>
      <w:pPr>
        <w:spacing w:after="480"/>
        <w:jc w:val="center"/>
      </w:pPr>
      <w:r>
        <w:rPr>
          <w:rFonts w:ascii="Calibri" w:hAnsi="Calibri"/>
          <w:color w:val="0176D3"/>
          <w:sz w:val="26"/>
        </w:rPr>
        <w:t>POC Input Generator &amp; Automated Salesforce Ingestion Engine</w:t>
        <w:br/>
        <w:t>Complete Operational Guide &amp; User Manual</w:t>
      </w:r>
    </w:p>
    <w:tbl>
      <w:tblPr>
        <w:tblW w:type="auto" w:w="0"/>
        <w:jc w:val="center"/>
        <w:tblLayout w:type="fixed"/>
        <w:tblLook w:firstColumn="1" w:firstRow="1" w:lastColumn="0" w:lastRow="0" w:noHBand="0" w:noVBand="1" w:val="04A0"/>
      </w:tblPr>
      <w:tblGrid>
        <w:gridCol w:w="9360"/>
      </w:tblGrid>
      <w:tr>
        <w:tc>
          <w:tcPr>
            <w:tcW w:type="dxa" w:w="7920"/>
            <w:shd w:fill="F4F8FB"/>
            <w:tcBorders>
              <w:top w:val="single" w:sz="8" w:space="0" w:color="D8DDE6"/>
              <w:left w:val="single" w:sz="8" w:space="0" w:color="D8DDE6"/>
              <w:bottom w:val="single" w:sz="8" w:space="0" w:color="D8DDE6"/>
              <w:right w:val="single" w:sz="8" w:space="0" w:color="D8DDE6"/>
            </w:tcBorders>
            <w:tcMar>
              <w:top w:w="160" w:type="dxa"/>
              <w:bottom w:w="160" w:type="dxa"/>
              <w:left w:w="200" w:type="dxa"/>
              <w:right w:w="200" w:type="dxa"/>
            </w:tcMar>
          </w:tcPr>
          <w:p>
            <w:pPr>
              <w:jc w:val="center"/>
            </w:pPr>
            <w:r>
              <w:rPr>
                <w:b/>
                <w:color w:val="0B2149"/>
                <w:sz w:val="20"/>
              </w:rPr>
              <w:t>DOCUMENT CONTROL &amp; PLATFORM METADATA</w:t>
              <w:br/>
              <w:br/>
            </w:r>
            <w:r>
              <w:rPr>
                <w:b/>
                <w:color w:val="0B2149"/>
                <w:sz w:val="18"/>
              </w:rPr>
              <w:t xml:space="preserve">Platform Version:      </w:t>
            </w:r>
            <w:r>
              <w:rPr>
                <w:color w:val="2B2B2B"/>
                <w:sz w:val="18"/>
              </w:rPr>
              <w:t>2.4 (Production Release)</w:t>
              <w:br/>
            </w:r>
            <w:r>
              <w:rPr>
                <w:b/>
                <w:color w:val="0B2149"/>
                <w:sz w:val="18"/>
              </w:rPr>
              <w:t xml:space="preserve">Operating System:      </w:t>
            </w:r>
            <w:r>
              <w:rPr>
                <w:color w:val="2B2B2B"/>
                <w:sz w:val="18"/>
              </w:rPr>
              <w:t>Oracle Cloud Ubuntu Linux (LTS)</w:t>
              <w:br/>
            </w:r>
            <w:r>
              <w:rPr>
                <w:b/>
                <w:color w:val="0B2149"/>
                <w:sz w:val="18"/>
              </w:rPr>
              <w:t xml:space="preserve">Access Endpoint:       </w:t>
            </w:r>
            <w:r>
              <w:rPr>
                <w:color w:val="2B2B2B"/>
                <w:sz w:val="18"/>
              </w:rPr>
              <w:t>https://161-118-182-20.sslip.io</w:t>
              <w:br/>
            </w:r>
            <w:r>
              <w:rPr>
                <w:b/>
                <w:color w:val="0B2149"/>
                <w:sz w:val="18"/>
              </w:rPr>
              <w:t xml:space="preserve">Target Audience:       </w:t>
            </w:r>
            <w:r>
              <w:rPr>
                <w:color w:val="2B2B2B"/>
                <w:sz w:val="18"/>
              </w:rPr>
              <w:t>Data Operations, Project Managers, Sitetracker Admins</w:t>
              <w:br/>
            </w:r>
            <w:r>
              <w:rPr>
                <w:b/>
                <w:color w:val="0B2149"/>
                <w:sz w:val="18"/>
              </w:rPr>
              <w:t xml:space="preserve">Classification:        </w:t>
            </w:r>
            <w:r>
              <w:rPr>
                <w:color w:val="2B2B2B"/>
                <w:sz w:val="18"/>
              </w:rPr>
              <w:t>Internal Enterprise Documentation (Restricted)</w:t>
              <w:br/>
            </w:r>
            <w:r>
              <w:rPr>
                <w:b/>
                <w:color w:val="0B2149"/>
                <w:sz w:val="18"/>
              </w:rPr>
              <w:t xml:space="preserve">Date Published:        </w:t>
            </w:r>
            <w:r>
              <w:rPr>
                <w:color w:val="2B2B2B"/>
                <w:sz w:val="18"/>
              </w:rPr>
              <w:t>October 2026</w:t>
              <w:br/>
            </w:r>
          </w:p>
        </w:tc>
      </w:tr>
    </w:tbl>
    <w:p>
      <w:r>
        <w:br w:type="page"/>
      </w:r>
    </w:p>
    <w:p>
      <w:pPr>
        <w:keepNext/>
        <w:spacing w:before="360" w:after="120"/>
      </w:pPr>
      <w:r>
        <w:rPr>
          <w:rFonts w:ascii="Segoe UI" w:hAnsi="Segoe UI"/>
          <w:b/>
          <w:color w:val="0B2149"/>
          <w:sz w:val="32"/>
        </w:rPr>
        <w:t>1. Platform Overview &amp; Business Impact</w:t>
      </w:r>
    </w:p>
    <w:p>
      <w:pPr>
        <w:spacing w:after="80"/>
      </w:pPr>
      <w:r>
        <w:rPr>
          <w:color w:val="2B2B2B"/>
        </w:rPr>
        <w:t>The Sitetracker Data Hub (POC Input Generator) is an internal enterprise automation platform engineered to eliminate the manual, error-prone spreadsheet reconciliation workflow previously required to update contractor reports into Sitetracker (Salesforce). By pairing automated schema normalization with smart field-level delta comparison, the platform enables operators to prepare, validate, and synchronize massive weekly contractor datasets in seconds with 1-click rollback protection.</w:t>
      </w:r>
    </w:p>
    <w:p>
      <w:pPr>
        <w:keepNext/>
        <w:spacing w:before="280" w:after="80"/>
      </w:pPr>
      <w:r>
        <w:rPr>
          <w:rFonts w:ascii="Segoe UI" w:hAnsi="Segoe UI"/>
          <w:b/>
          <w:color w:val="0176D3"/>
          <w:sz w:val="25"/>
        </w:rPr>
        <w:t>1.1 The Business Transformation: Before vs. Now</w:t>
      </w:r>
    </w:p>
    <w:p>
      <w:pPr>
        <w:spacing w:after="80"/>
      </w:pPr>
      <w:r>
        <w:rPr>
          <w:color w:val="2B2B2B"/>
        </w:rPr>
        <w:t>Prior to this platform, data operators spent 2 to 4 hours per report downloading baseline data, running Excel VLOOKUP formulas, manually inspecting rows, and uploading 100,000-row files through external tools. The table below summarizes the operational gains achieved:</w:t>
      </w:r>
    </w:p>
    <w:tbl>
      <w:tblPr>
        <w:tblW w:type="auto" w:w="0"/>
        <w:jc w:val="center"/>
        <w:tblLayout w:type="fixed"/>
        <w:tblLook w:firstColumn="1" w:firstRow="1" w:lastColumn="0" w:lastRow="0" w:noHBand="0" w:noVBand="1" w:val="04A0"/>
        <w:tblBorders>
          <w:top w:val="single" w:sz="6" w:space="0" w:color="D8DDE6"/>
          <w:bottom w:val="single" w:sz="8" w:space="0" w:color="0B2149"/>
          <w:left w:val="none"/>
          <w:right w:val="none"/>
          <w:insideH w:val="single" w:sz="4" w:space="0" w:color="D8DDE6"/>
          <w:insideV w:val="none"/>
        </w:tblBorders>
      </w:tblPr>
      <w:tblGrid>
        <w:gridCol w:w="2340"/>
        <w:gridCol w:w="2340"/>
        <w:gridCol w:w="2340"/>
        <w:gridCol w:w="2340"/>
      </w:tblGrid>
      <w:tr>
        <w:tc>
          <w:tcPr>
            <w:tcW w:type="dxa" w:w="2160"/>
            <w:shd w:fill="0B2149"/>
            <w:tcMar>
              <w:top w:w="120" w:type="dxa"/>
              <w:bottom w:w="120" w:type="dxa"/>
              <w:left w:w="140" w:type="dxa"/>
              <w:right w:w="140" w:type="dxa"/>
            </w:tcMar>
          </w:tcPr>
          <w:p>
            <w:pPr>
              <w:jc w:val="left"/>
            </w:pPr>
            <w:r>
              <w:rPr>
                <w:rFonts w:ascii="Segoe UI" w:hAnsi="Segoe UI"/>
                <w:b/>
                <w:color w:val="FFFFFF"/>
                <w:sz w:val="19"/>
              </w:rPr>
              <w:t>Operational Dimension</w:t>
            </w:r>
          </w:p>
        </w:tc>
        <w:tc>
          <w:tcPr>
            <w:tcW w:type="dxa" w:w="2592"/>
            <w:shd w:fill="0B2149"/>
            <w:tcMar>
              <w:top w:w="120" w:type="dxa"/>
              <w:bottom w:w="120" w:type="dxa"/>
              <w:left w:w="140" w:type="dxa"/>
              <w:right w:w="140" w:type="dxa"/>
            </w:tcMar>
          </w:tcPr>
          <w:p>
            <w:pPr>
              <w:jc w:val="left"/>
            </w:pPr>
            <w:r>
              <w:rPr>
                <w:rFonts w:ascii="Segoe UI" w:hAnsi="Segoe UI"/>
                <w:b/>
                <w:color w:val="FFFFFF"/>
                <w:sz w:val="19"/>
              </w:rPr>
              <w:t>Legacy Manual Workflow</w:t>
            </w:r>
          </w:p>
        </w:tc>
        <w:tc>
          <w:tcPr>
            <w:tcW w:type="dxa" w:w="2592"/>
            <w:shd w:fill="0B2149"/>
            <w:tcMar>
              <w:top w:w="120" w:type="dxa"/>
              <w:bottom w:w="120" w:type="dxa"/>
              <w:left w:w="140" w:type="dxa"/>
              <w:right w:w="140" w:type="dxa"/>
            </w:tcMar>
          </w:tcPr>
          <w:p>
            <w:pPr>
              <w:jc w:val="left"/>
            </w:pPr>
            <w:r>
              <w:rPr>
                <w:rFonts w:ascii="Segoe UI" w:hAnsi="Segoe UI"/>
                <w:b/>
                <w:color w:val="FFFFFF"/>
                <w:sz w:val="19"/>
              </w:rPr>
              <w:t>Sitetracker Data Hub</w:t>
            </w:r>
          </w:p>
        </w:tc>
        <w:tc>
          <w:tcPr>
            <w:tcW w:type="dxa" w:w="2016"/>
            <w:shd w:fill="0B2149"/>
            <w:tcMar>
              <w:top w:w="120" w:type="dxa"/>
              <w:bottom w:w="120" w:type="dxa"/>
              <w:left w:w="140" w:type="dxa"/>
              <w:right w:w="140" w:type="dxa"/>
            </w:tcMar>
          </w:tcPr>
          <w:p>
            <w:pPr>
              <w:jc w:val="left"/>
            </w:pPr>
            <w:r>
              <w:rPr>
                <w:rFonts w:ascii="Segoe UI" w:hAnsi="Segoe UI"/>
                <w:b/>
                <w:color w:val="FFFFFF"/>
                <w:sz w:val="19"/>
              </w:rPr>
              <w:t>Business Benefit</w:t>
            </w:r>
          </w:p>
        </w:tc>
      </w:tr>
      <w:tr>
        <w:tc>
          <w:tcPr>
            <w:tcW w:type="dxa" w:w="2160"/>
            <w:shd w:fill="FFFFFF"/>
            <w:tcMar>
              <w:top w:w="90" w:type="dxa"/>
              <w:bottom w:w="90" w:type="dxa"/>
              <w:left w:w="140" w:type="dxa"/>
              <w:right w:w="140" w:type="dxa"/>
            </w:tcMar>
          </w:tcPr>
          <w:p>
            <w:r>
              <w:rPr>
                <w:rFonts w:ascii="Calibri" w:hAnsi="Calibri"/>
                <w:color w:val="2B2B2B"/>
                <w:sz w:val="18"/>
              </w:rPr>
              <w:t>Processing Duration</w:t>
            </w:r>
          </w:p>
        </w:tc>
        <w:tc>
          <w:tcPr>
            <w:tcW w:type="dxa" w:w="2592"/>
            <w:shd w:fill="FFFFFF"/>
            <w:tcMar>
              <w:top w:w="90" w:type="dxa"/>
              <w:bottom w:w="90" w:type="dxa"/>
              <w:left w:w="140" w:type="dxa"/>
              <w:right w:w="140" w:type="dxa"/>
            </w:tcMar>
          </w:tcPr>
          <w:p>
            <w:r>
              <w:rPr>
                <w:rFonts w:ascii="Calibri" w:hAnsi="Calibri"/>
                <w:color w:val="2B2B2B"/>
                <w:sz w:val="18"/>
              </w:rPr>
              <w:t>2 – 4 hours per weekly report</w:t>
            </w:r>
          </w:p>
        </w:tc>
        <w:tc>
          <w:tcPr>
            <w:tcW w:type="dxa" w:w="2592"/>
            <w:shd w:fill="FFFFFF"/>
            <w:tcMar>
              <w:top w:w="90" w:type="dxa"/>
              <w:bottom w:w="90" w:type="dxa"/>
              <w:left w:w="140" w:type="dxa"/>
              <w:right w:w="140" w:type="dxa"/>
            </w:tcMar>
          </w:tcPr>
          <w:p>
            <w:r>
              <w:rPr>
                <w:rFonts w:ascii="Calibri" w:hAnsi="Calibri"/>
                <w:color w:val="2B2B2B"/>
                <w:sz w:val="18"/>
              </w:rPr>
              <w:t>Under 60 seconds (1-Click)</w:t>
            </w:r>
          </w:p>
        </w:tc>
        <w:tc>
          <w:tcPr>
            <w:tcW w:type="dxa" w:w="2016"/>
            <w:shd w:fill="FFFFFF"/>
            <w:tcMar>
              <w:top w:w="90" w:type="dxa"/>
              <w:bottom w:w="90" w:type="dxa"/>
              <w:left w:w="140" w:type="dxa"/>
              <w:right w:w="140" w:type="dxa"/>
            </w:tcMar>
          </w:tcPr>
          <w:p>
            <w:r>
              <w:rPr>
                <w:rFonts w:ascii="Calibri" w:hAnsi="Calibri"/>
                <w:color w:val="2B2B2B"/>
                <w:sz w:val="18"/>
              </w:rPr>
              <w:t>95%+ operator time savings</w:t>
            </w:r>
          </w:p>
        </w:tc>
      </w:tr>
      <w:tr>
        <w:tc>
          <w:tcPr>
            <w:tcW w:type="dxa" w:w="2160"/>
            <w:shd w:fill="F8FAFC"/>
            <w:tcMar>
              <w:top w:w="90" w:type="dxa"/>
              <w:bottom w:w="90" w:type="dxa"/>
              <w:left w:w="140" w:type="dxa"/>
              <w:right w:w="140" w:type="dxa"/>
            </w:tcMar>
          </w:tcPr>
          <w:p>
            <w:r>
              <w:rPr>
                <w:rFonts w:ascii="Calibri" w:hAnsi="Calibri"/>
                <w:color w:val="2B2B2B"/>
                <w:sz w:val="18"/>
              </w:rPr>
              <w:t>Human Error Rate</w:t>
            </w:r>
          </w:p>
        </w:tc>
        <w:tc>
          <w:tcPr>
            <w:tcW w:type="dxa" w:w="2592"/>
            <w:shd w:fill="F8FAFC"/>
            <w:tcMar>
              <w:top w:w="90" w:type="dxa"/>
              <w:bottom w:w="90" w:type="dxa"/>
              <w:left w:w="140" w:type="dxa"/>
              <w:right w:w="140" w:type="dxa"/>
            </w:tcMar>
          </w:tcPr>
          <w:p>
            <w:r>
              <w:rPr>
                <w:rFonts w:ascii="Calibri" w:hAnsi="Calibri"/>
                <w:color w:val="2B2B2B"/>
                <w:sz w:val="18"/>
              </w:rPr>
              <w:t>High (copy-paste, date errors)</w:t>
            </w:r>
          </w:p>
        </w:tc>
        <w:tc>
          <w:tcPr>
            <w:tcW w:type="dxa" w:w="2592"/>
            <w:shd w:fill="F8FAFC"/>
            <w:tcMar>
              <w:top w:w="90" w:type="dxa"/>
              <w:bottom w:w="90" w:type="dxa"/>
              <w:left w:w="140" w:type="dxa"/>
              <w:right w:w="140" w:type="dxa"/>
            </w:tcMar>
          </w:tcPr>
          <w:p>
            <w:r>
              <w:rPr>
                <w:rFonts w:ascii="Calibri" w:hAnsi="Calibri"/>
                <w:color w:val="2B2B2B"/>
                <w:sz w:val="18"/>
              </w:rPr>
              <w:t>0% programmatic errors</w:t>
            </w:r>
          </w:p>
        </w:tc>
        <w:tc>
          <w:tcPr>
            <w:tcW w:type="dxa" w:w="2016"/>
            <w:shd w:fill="F8FAFC"/>
            <w:tcMar>
              <w:top w:w="90" w:type="dxa"/>
              <w:bottom w:w="90" w:type="dxa"/>
              <w:left w:w="140" w:type="dxa"/>
              <w:right w:w="140" w:type="dxa"/>
            </w:tcMar>
          </w:tcPr>
          <w:p>
            <w:r>
              <w:rPr>
                <w:rFonts w:ascii="Calibri" w:hAnsi="Calibri"/>
                <w:color w:val="2B2B2B"/>
                <w:sz w:val="18"/>
              </w:rPr>
              <w:t>Eliminates contractor rework</w:t>
            </w:r>
          </w:p>
        </w:tc>
      </w:tr>
      <w:tr>
        <w:tc>
          <w:tcPr>
            <w:tcW w:type="dxa" w:w="2160"/>
            <w:shd w:fill="FFFFFF"/>
            <w:tcMar>
              <w:top w:w="90" w:type="dxa"/>
              <w:bottom w:w="90" w:type="dxa"/>
              <w:left w:w="140" w:type="dxa"/>
              <w:right w:w="140" w:type="dxa"/>
            </w:tcMar>
          </w:tcPr>
          <w:p>
            <w:r>
              <w:rPr>
                <w:rFonts w:ascii="Calibri" w:hAnsi="Calibri"/>
                <w:color w:val="2B2B2B"/>
                <w:sz w:val="18"/>
              </w:rPr>
              <w:t>Salesforce API Quota</w:t>
            </w:r>
          </w:p>
        </w:tc>
        <w:tc>
          <w:tcPr>
            <w:tcW w:type="dxa" w:w="2592"/>
            <w:shd w:fill="FFFFFF"/>
            <w:tcMar>
              <w:top w:w="90" w:type="dxa"/>
              <w:bottom w:w="90" w:type="dxa"/>
              <w:left w:w="140" w:type="dxa"/>
              <w:right w:w="140" w:type="dxa"/>
            </w:tcMar>
          </w:tcPr>
          <w:p>
            <w:r>
              <w:rPr>
                <w:rFonts w:ascii="Calibri" w:hAnsi="Calibri"/>
                <w:color w:val="2B2B2B"/>
                <w:sz w:val="18"/>
              </w:rPr>
              <w:t>Uploaded entire 100k row dataset</w:t>
            </w:r>
          </w:p>
        </w:tc>
        <w:tc>
          <w:tcPr>
            <w:tcW w:type="dxa" w:w="2592"/>
            <w:shd w:fill="FFFFFF"/>
            <w:tcMar>
              <w:top w:w="90" w:type="dxa"/>
              <w:bottom w:w="90" w:type="dxa"/>
              <w:left w:w="140" w:type="dxa"/>
              <w:right w:w="140" w:type="dxa"/>
            </w:tcMar>
          </w:tcPr>
          <w:p>
            <w:r>
              <w:rPr>
                <w:rFonts w:ascii="Calibri" w:hAnsi="Calibri"/>
                <w:color w:val="2B2B2B"/>
                <w:sz w:val="18"/>
              </w:rPr>
              <w:t>Uploads only modified deltas</w:t>
            </w:r>
          </w:p>
        </w:tc>
        <w:tc>
          <w:tcPr>
            <w:tcW w:type="dxa" w:w="2016"/>
            <w:shd w:fill="FFFFFF"/>
            <w:tcMar>
              <w:top w:w="90" w:type="dxa"/>
              <w:bottom w:w="90" w:type="dxa"/>
              <w:left w:w="140" w:type="dxa"/>
              <w:right w:w="140" w:type="dxa"/>
            </w:tcMar>
          </w:tcPr>
          <w:p>
            <w:r>
              <w:rPr>
                <w:rFonts w:ascii="Calibri" w:hAnsi="Calibri"/>
                <w:color w:val="2B2B2B"/>
                <w:sz w:val="18"/>
              </w:rPr>
              <w:t>85%–95% API quota saved</w:t>
            </w:r>
          </w:p>
        </w:tc>
      </w:tr>
      <w:tr>
        <w:tc>
          <w:tcPr>
            <w:tcW w:type="dxa" w:w="2160"/>
            <w:shd w:fill="F8FAFC"/>
            <w:tcMar>
              <w:top w:w="90" w:type="dxa"/>
              <w:bottom w:w="90" w:type="dxa"/>
              <w:left w:w="140" w:type="dxa"/>
              <w:right w:w="140" w:type="dxa"/>
            </w:tcMar>
          </w:tcPr>
          <w:p>
            <w:r>
              <w:rPr>
                <w:rFonts w:ascii="Calibri" w:hAnsi="Calibri"/>
                <w:color w:val="2B2B2B"/>
                <w:sz w:val="18"/>
              </w:rPr>
              <w:t>Rollback Capability</w:t>
            </w:r>
          </w:p>
        </w:tc>
        <w:tc>
          <w:tcPr>
            <w:tcW w:type="dxa" w:w="2592"/>
            <w:shd w:fill="F8FAFC"/>
            <w:tcMar>
              <w:top w:w="90" w:type="dxa"/>
              <w:bottom w:w="90" w:type="dxa"/>
              <w:left w:w="140" w:type="dxa"/>
              <w:right w:w="140" w:type="dxa"/>
            </w:tcMar>
          </w:tcPr>
          <w:p>
            <w:r>
              <w:rPr>
                <w:rFonts w:ascii="Calibri" w:hAnsi="Calibri"/>
                <w:color w:val="2B2B2B"/>
                <w:sz w:val="18"/>
              </w:rPr>
              <w:t>Zero (native tools have no undo)</w:t>
            </w:r>
          </w:p>
        </w:tc>
        <w:tc>
          <w:tcPr>
            <w:tcW w:type="dxa" w:w="2592"/>
            <w:shd w:fill="F8FAFC"/>
            <w:tcMar>
              <w:top w:w="90" w:type="dxa"/>
              <w:bottom w:w="90" w:type="dxa"/>
              <w:left w:w="140" w:type="dxa"/>
              <w:right w:w="140" w:type="dxa"/>
            </w:tcMar>
          </w:tcPr>
          <w:p>
            <w:r>
              <w:rPr>
                <w:rFonts w:ascii="Calibri" w:hAnsi="Calibri"/>
                <w:color w:val="2B2B2B"/>
                <w:sz w:val="18"/>
              </w:rPr>
              <w:t>1-Click Instant Rollback CSV</w:t>
            </w:r>
          </w:p>
        </w:tc>
        <w:tc>
          <w:tcPr>
            <w:tcW w:type="dxa" w:w="2016"/>
            <w:shd w:fill="F8FAFC"/>
            <w:tcMar>
              <w:top w:w="90" w:type="dxa"/>
              <w:bottom w:w="90" w:type="dxa"/>
              <w:left w:w="140" w:type="dxa"/>
              <w:right w:w="140" w:type="dxa"/>
            </w:tcMar>
          </w:tcPr>
          <w:p>
            <w:r>
              <w:rPr>
                <w:rFonts w:ascii="Calibri" w:hAnsi="Calibri"/>
                <w:color w:val="2B2B2B"/>
                <w:sz w:val="18"/>
              </w:rPr>
              <w:t>Zero risk of live data corruption</w:t>
            </w:r>
          </w:p>
        </w:tc>
      </w:tr>
      <w:tr>
        <w:tc>
          <w:tcPr>
            <w:tcW w:type="dxa" w:w="2160"/>
            <w:shd w:fill="FFFFFF"/>
            <w:tcMar>
              <w:top w:w="90" w:type="dxa"/>
              <w:bottom w:w="90" w:type="dxa"/>
              <w:left w:w="140" w:type="dxa"/>
              <w:right w:w="140" w:type="dxa"/>
            </w:tcMar>
          </w:tcPr>
          <w:p>
            <w:r>
              <w:rPr>
                <w:rFonts w:ascii="Calibri" w:hAnsi="Calibri"/>
                <w:color w:val="2B2B2B"/>
                <w:sz w:val="18"/>
              </w:rPr>
              <w:t>Audit Compliance</w:t>
            </w:r>
          </w:p>
        </w:tc>
        <w:tc>
          <w:tcPr>
            <w:tcW w:type="dxa" w:w="2592"/>
            <w:shd w:fill="FFFFFF"/>
            <w:tcMar>
              <w:top w:w="90" w:type="dxa"/>
              <w:bottom w:w="90" w:type="dxa"/>
              <w:left w:w="140" w:type="dxa"/>
              <w:right w:w="140" w:type="dxa"/>
            </w:tcMar>
          </w:tcPr>
          <w:p>
            <w:r>
              <w:rPr>
                <w:rFonts w:ascii="Calibri" w:hAnsi="Calibri"/>
                <w:color w:val="2B2B2B"/>
                <w:sz w:val="18"/>
              </w:rPr>
              <w:t>Fragmented spreadsheet copies</w:t>
            </w:r>
          </w:p>
        </w:tc>
        <w:tc>
          <w:tcPr>
            <w:tcW w:type="dxa" w:w="2592"/>
            <w:shd w:fill="FFFFFF"/>
            <w:tcMar>
              <w:top w:w="90" w:type="dxa"/>
              <w:bottom w:w="90" w:type="dxa"/>
              <w:left w:w="140" w:type="dxa"/>
              <w:right w:w="140" w:type="dxa"/>
            </w:tcMar>
          </w:tcPr>
          <w:p>
            <w:r>
              <w:rPr>
                <w:rFonts w:ascii="Calibri" w:hAnsi="Calibri"/>
                <w:color w:val="2B2B2B"/>
                <w:sz w:val="18"/>
              </w:rPr>
              <w:t>Standardized 5-file audit package</w:t>
            </w:r>
          </w:p>
        </w:tc>
        <w:tc>
          <w:tcPr>
            <w:tcW w:type="dxa" w:w="2016"/>
            <w:shd w:fill="FFFFFF"/>
            <w:tcMar>
              <w:top w:w="90" w:type="dxa"/>
              <w:bottom w:w="90" w:type="dxa"/>
              <w:left w:w="140" w:type="dxa"/>
              <w:right w:w="140" w:type="dxa"/>
            </w:tcMar>
          </w:tcPr>
          <w:p>
            <w:r>
              <w:rPr>
                <w:rFonts w:ascii="Calibri" w:hAnsi="Calibri"/>
                <w:color w:val="2B2B2B"/>
                <w:sz w:val="18"/>
              </w:rPr>
              <w:t>100% audit &amp; finance compliance</w:t>
            </w:r>
          </w:p>
        </w:tc>
      </w:tr>
      <w:tr>
        <w:tc>
          <w:tcPr>
            <w:tcW w:type="dxa" w:w="2160"/>
            <w:shd w:fill="F8FAFC"/>
            <w:tcMar>
              <w:top w:w="90" w:type="dxa"/>
              <w:bottom w:w="90" w:type="dxa"/>
              <w:left w:w="140" w:type="dxa"/>
              <w:right w:w="140" w:type="dxa"/>
            </w:tcMar>
          </w:tcPr>
          <w:p>
            <w:r>
              <w:rPr>
                <w:rFonts w:ascii="Calibri" w:hAnsi="Calibri"/>
                <w:color w:val="2B2B2B"/>
                <w:sz w:val="18"/>
              </w:rPr>
              <w:t>Execution Mode</w:t>
            </w:r>
          </w:p>
        </w:tc>
        <w:tc>
          <w:tcPr>
            <w:tcW w:type="dxa" w:w="2592"/>
            <w:shd w:fill="F8FAFC"/>
            <w:tcMar>
              <w:top w:w="90" w:type="dxa"/>
              <w:bottom w:w="90" w:type="dxa"/>
              <w:left w:w="140" w:type="dxa"/>
              <w:right w:w="140" w:type="dxa"/>
            </w:tcMar>
          </w:tcPr>
          <w:p>
            <w:r>
              <w:rPr>
                <w:rFonts w:ascii="Calibri" w:hAnsi="Calibri"/>
                <w:color w:val="2B2B2B"/>
                <w:sz w:val="18"/>
              </w:rPr>
              <w:t>Manual operator intervention</w:t>
            </w:r>
          </w:p>
        </w:tc>
        <w:tc>
          <w:tcPr>
            <w:tcW w:type="dxa" w:w="2592"/>
            <w:shd w:fill="F8FAFC"/>
            <w:tcMar>
              <w:top w:w="90" w:type="dxa"/>
              <w:bottom w:w="90" w:type="dxa"/>
              <w:left w:w="140" w:type="dxa"/>
              <w:right w:w="140" w:type="dxa"/>
            </w:tcMar>
          </w:tcPr>
          <w:p>
            <w:r>
              <w:rPr>
                <w:rFonts w:ascii="Calibri" w:hAnsi="Calibri"/>
                <w:color w:val="2B2B2B"/>
                <w:sz w:val="18"/>
              </w:rPr>
              <w:t>Web UI + Automated Task Scheduler</w:t>
            </w:r>
          </w:p>
        </w:tc>
        <w:tc>
          <w:tcPr>
            <w:tcW w:type="dxa" w:w="2016"/>
            <w:shd w:fill="F8FAFC"/>
            <w:tcMar>
              <w:top w:w="90" w:type="dxa"/>
              <w:bottom w:w="90" w:type="dxa"/>
              <w:left w:w="140" w:type="dxa"/>
              <w:right w:w="140" w:type="dxa"/>
            </w:tcMar>
          </w:tcPr>
          <w:p>
            <w:r>
              <w:rPr>
                <w:rFonts w:ascii="Calibri" w:hAnsi="Calibri"/>
                <w:color w:val="2B2B2B"/>
                <w:sz w:val="18"/>
              </w:rPr>
              <w:t>Unattended scheduled runs</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0F6FA"/>
            <w:tcBorders>
              <w:top w:val="none"/>
              <w:left w:val="single" w:sz="24" w:space="0" w:color="0176D3"/>
              <w:bottom w:val="none"/>
              <w:right w:val="none"/>
            </w:tcBorders>
            <w:tcMar>
              <w:top w:w="140" w:type="dxa"/>
              <w:bottom w:w="140" w:type="dxa"/>
              <w:left w:w="200" w:type="dxa"/>
              <w:right w:w="160" w:type="dxa"/>
            </w:tcMar>
          </w:tcPr>
          <w:p>
            <w:pPr>
              <w:spacing w:after="60"/>
            </w:pPr>
            <w:r>
              <w:rPr>
                <w:rFonts w:ascii="Segoe UI" w:hAnsi="Segoe UI"/>
                <w:b/>
                <w:color w:val="0B2149"/>
                <w:sz w:val="20"/>
              </w:rPr>
              <w:t>ℹ️ NOTE: Core Architectural Guarantee</w:t>
              <w:br/>
            </w:r>
            <w:r>
              <w:rPr>
                <w:color w:val="2B2B2B"/>
                <w:sz w:val="19"/>
              </w:rPr>
              <w:t>The platform enforces strict UI-engine decoupling. All business calculations, delta comparisons, and validations can be executed headlessly via CLI (cli.py) or scheduled unattended background cron jobs without opening a web browser.</w:t>
            </w:r>
          </w:p>
        </w:tc>
      </w:tr>
    </w:tbl>
    <w:p>
      <w:pPr>
        <w:spacing w:before="40" w:after="40"/>
      </w:pPr>
    </w:p>
    <w:p>
      <w:pPr>
        <w:keepNext/>
        <w:spacing w:before="360" w:after="120"/>
      </w:pPr>
      <w:r>
        <w:rPr>
          <w:rFonts w:ascii="Segoe UI" w:hAnsi="Segoe UI"/>
          <w:b/>
          <w:color w:val="0B2149"/>
          <w:sz w:val="32"/>
        </w:rPr>
        <w:t>2. The 5 Standard Output Files (Core Data Contracts)</w:t>
      </w:r>
    </w:p>
    <w:p>
      <w:pPr>
        <w:spacing w:after="80"/>
      </w:pPr>
      <w:r>
        <w:rPr>
          <w:color w:val="2B2B2B"/>
        </w:rPr>
        <w:t>Every run executed by the platform—whether initiated via the Guided Pipeline, Manual Dataloader, or Scheduled Task—is cryptographically isolated and saved into a dedicated timestamped folder: runs/&lt;YYYYMMDD_HHMMSS&gt;/. To maintain strict auditability, the engine is bound by contract to generate exactly the following 5 core files:</w:t>
      </w:r>
    </w:p>
    <w:tbl>
      <w:tblPr>
        <w:tblW w:type="auto" w:w="0"/>
        <w:jc w:val="center"/>
        <w:tblLayout w:type="fixed"/>
        <w:tblLook w:firstColumn="1" w:firstRow="1" w:lastColumn="0" w:lastRow="0" w:noHBand="0" w:noVBand="1" w:val="04A0"/>
        <w:tblBorders>
          <w:top w:val="single" w:sz="6" w:space="0" w:color="D8DDE6"/>
          <w:bottom w:val="single" w:sz="8" w:space="0" w:color="0B2149"/>
          <w:left w:val="none"/>
          <w:right w:val="none"/>
          <w:insideH w:val="single" w:sz="4" w:space="0" w:color="D8DDE6"/>
          <w:insideV w:val="none"/>
        </w:tblBorders>
      </w:tblPr>
      <w:tblGrid>
        <w:gridCol w:w="3120"/>
        <w:gridCol w:w="3120"/>
        <w:gridCol w:w="3120"/>
      </w:tblGrid>
      <w:tr>
        <w:tc>
          <w:tcPr>
            <w:tcW w:type="dxa" w:w="2304"/>
            <w:shd w:fill="0B2149"/>
            <w:tcMar>
              <w:top w:w="120" w:type="dxa"/>
              <w:bottom w:w="120" w:type="dxa"/>
              <w:left w:w="140" w:type="dxa"/>
              <w:right w:w="140" w:type="dxa"/>
            </w:tcMar>
          </w:tcPr>
          <w:p>
            <w:pPr>
              <w:jc w:val="left"/>
            </w:pPr>
            <w:r>
              <w:rPr>
                <w:rFonts w:ascii="Segoe UI" w:hAnsi="Segoe UI"/>
                <w:b/>
                <w:color w:val="FFFFFF"/>
                <w:sz w:val="19"/>
              </w:rPr>
              <w:t>Output Filename</w:t>
            </w:r>
          </w:p>
        </w:tc>
        <w:tc>
          <w:tcPr>
            <w:tcW w:type="dxa" w:w="3888"/>
            <w:shd w:fill="0B2149"/>
            <w:tcMar>
              <w:top w:w="120" w:type="dxa"/>
              <w:bottom w:w="120" w:type="dxa"/>
              <w:left w:w="140" w:type="dxa"/>
              <w:right w:w="140" w:type="dxa"/>
            </w:tcMar>
          </w:tcPr>
          <w:p>
            <w:pPr>
              <w:jc w:val="left"/>
            </w:pPr>
            <w:r>
              <w:rPr>
                <w:rFonts w:ascii="Segoe UI" w:hAnsi="Segoe UI"/>
                <w:b/>
                <w:color w:val="FFFFFF"/>
                <w:sz w:val="19"/>
              </w:rPr>
              <w:t>File Purpose &amp; Description</w:t>
            </w:r>
          </w:p>
        </w:tc>
        <w:tc>
          <w:tcPr>
            <w:tcW w:type="dxa" w:w="3168"/>
            <w:shd w:fill="0B2149"/>
            <w:tcMar>
              <w:top w:w="120" w:type="dxa"/>
              <w:bottom w:w="120" w:type="dxa"/>
              <w:left w:w="140" w:type="dxa"/>
              <w:right w:w="140" w:type="dxa"/>
            </w:tcMar>
          </w:tcPr>
          <w:p>
            <w:pPr>
              <w:jc w:val="left"/>
            </w:pPr>
            <w:r>
              <w:rPr>
                <w:rFonts w:ascii="Segoe UI" w:hAnsi="Segoe UI"/>
                <w:b/>
                <w:color w:val="FFFFFF"/>
                <w:sz w:val="19"/>
              </w:rPr>
              <w:t>Key Columns &amp; Schema</w:t>
            </w:r>
          </w:p>
        </w:tc>
      </w:tr>
      <w:tr>
        <w:tc>
          <w:tcPr>
            <w:tcW w:type="dxa" w:w="2304"/>
            <w:shd w:fill="FFFFFF"/>
            <w:tcMar>
              <w:top w:w="90" w:type="dxa"/>
              <w:bottom w:w="90" w:type="dxa"/>
              <w:left w:w="140" w:type="dxa"/>
              <w:right w:w="140" w:type="dxa"/>
            </w:tcMar>
          </w:tcPr>
          <w:p>
            <w:r>
              <w:rPr>
                <w:rFonts w:ascii="Calibri" w:hAnsi="Calibri"/>
                <w:color w:val="2B2B2B"/>
                <w:sz w:val="18"/>
              </w:rPr>
              <w:t>final_input_file.csv</w:t>
            </w:r>
          </w:p>
        </w:tc>
        <w:tc>
          <w:tcPr>
            <w:tcW w:type="dxa" w:w="3888"/>
            <w:shd w:fill="FFFFFF"/>
            <w:tcMar>
              <w:top w:w="90" w:type="dxa"/>
              <w:bottom w:w="90" w:type="dxa"/>
              <w:left w:w="140" w:type="dxa"/>
              <w:right w:w="140" w:type="dxa"/>
            </w:tcMar>
          </w:tcPr>
          <w:p>
            <w:r>
              <w:rPr>
                <w:rFonts w:ascii="Calibri" w:hAnsi="Calibri"/>
                <w:color w:val="2B2B2B"/>
                <w:sz w:val="18"/>
              </w:rPr>
              <w:t>Clean, ready-to-load upload payload containing ONLY modified rows with valid Primary Keys. Zero blanks or duplicates.</w:t>
            </w:r>
          </w:p>
        </w:tc>
        <w:tc>
          <w:tcPr>
            <w:tcW w:type="dxa" w:w="3168"/>
            <w:shd w:fill="FFFFFF"/>
            <w:tcMar>
              <w:top w:w="90" w:type="dxa"/>
              <w:bottom w:w="90" w:type="dxa"/>
              <w:left w:w="140" w:type="dxa"/>
              <w:right w:w="140" w:type="dxa"/>
            </w:tcMar>
          </w:tcPr>
          <w:p>
            <w:r>
              <w:rPr>
                <w:rFonts w:ascii="Calibri" w:hAnsi="Calibri"/>
                <w:color w:val="2B2B2B"/>
                <w:sz w:val="18"/>
              </w:rPr>
              <w:t>Primary Key (e.g. Sitetracker Job ID) + All mapped Target Sitetracker Columns</w:t>
            </w:r>
          </w:p>
        </w:tc>
      </w:tr>
      <w:tr>
        <w:tc>
          <w:tcPr>
            <w:tcW w:type="dxa" w:w="2304"/>
            <w:shd w:fill="F8FAFC"/>
            <w:tcMar>
              <w:top w:w="90" w:type="dxa"/>
              <w:bottom w:w="90" w:type="dxa"/>
              <w:left w:w="140" w:type="dxa"/>
              <w:right w:w="140" w:type="dxa"/>
            </w:tcMar>
          </w:tcPr>
          <w:p>
            <w:r>
              <w:rPr>
                <w:rFonts w:ascii="Calibri" w:hAnsi="Calibri"/>
                <w:color w:val="2B2B2B"/>
                <w:sz w:val="18"/>
              </w:rPr>
              <w:t>field_level_changes.csv</w:t>
            </w:r>
          </w:p>
        </w:tc>
        <w:tc>
          <w:tcPr>
            <w:tcW w:type="dxa" w:w="3888"/>
            <w:shd w:fill="F8FAFC"/>
            <w:tcMar>
              <w:top w:w="90" w:type="dxa"/>
              <w:bottom w:w="90" w:type="dxa"/>
              <w:left w:w="140" w:type="dxa"/>
              <w:right w:w="140" w:type="dxa"/>
            </w:tcMar>
          </w:tcPr>
          <w:p>
            <w:r>
              <w:rPr>
                <w:rFonts w:ascii="Calibri" w:hAnsi="Calibri"/>
                <w:color w:val="2B2B2B"/>
                <w:sz w:val="18"/>
              </w:rPr>
              <w:t>Granular field-by-field audit log recording every single detected delta between source contractor data and live baseline.</w:t>
            </w:r>
          </w:p>
        </w:tc>
        <w:tc>
          <w:tcPr>
            <w:tcW w:type="dxa" w:w="3168"/>
            <w:shd w:fill="F8FAFC"/>
            <w:tcMar>
              <w:top w:w="90" w:type="dxa"/>
              <w:bottom w:w="90" w:type="dxa"/>
              <w:left w:w="140" w:type="dxa"/>
              <w:right w:w="140" w:type="dxa"/>
            </w:tcMar>
          </w:tcPr>
          <w:p>
            <w:r>
              <w:rPr>
                <w:rFonts w:ascii="Calibri" w:hAnsi="Calibri"/>
                <w:color w:val="2B2B2B"/>
                <w:sz w:val="18"/>
              </w:rPr>
              <w:t>Primary_Key, Column, Old_Value, New_Value</w:t>
            </w:r>
          </w:p>
        </w:tc>
      </w:tr>
      <w:tr>
        <w:tc>
          <w:tcPr>
            <w:tcW w:type="dxa" w:w="2304"/>
            <w:shd w:fill="FFFFFF"/>
            <w:tcMar>
              <w:top w:w="90" w:type="dxa"/>
              <w:bottom w:w="90" w:type="dxa"/>
              <w:left w:w="140" w:type="dxa"/>
              <w:right w:w="140" w:type="dxa"/>
            </w:tcMar>
          </w:tcPr>
          <w:p>
            <w:r>
              <w:rPr>
                <w:rFonts w:ascii="Calibri" w:hAnsi="Calibri"/>
                <w:color w:val="2B2B2B"/>
                <w:sz w:val="18"/>
              </w:rPr>
              <w:t>invalid_primary_key.csv</w:t>
            </w:r>
          </w:p>
        </w:tc>
        <w:tc>
          <w:tcPr>
            <w:tcW w:type="dxa" w:w="3888"/>
            <w:shd w:fill="FFFFFF"/>
            <w:tcMar>
              <w:top w:w="90" w:type="dxa"/>
              <w:bottom w:w="90" w:type="dxa"/>
              <w:left w:w="140" w:type="dxa"/>
              <w:right w:w="140" w:type="dxa"/>
            </w:tcMar>
          </w:tcPr>
          <w:p>
            <w:r>
              <w:rPr>
                <w:rFonts w:ascii="Calibri" w:hAnsi="Calibri"/>
                <w:color w:val="2B2B2B"/>
                <w:sz w:val="18"/>
              </w:rPr>
              <w:t>Exact replica of source rows that were quarantined and rejected because their Primary Key was null, blank, or whitespace.</w:t>
            </w:r>
          </w:p>
        </w:tc>
        <w:tc>
          <w:tcPr>
            <w:tcW w:type="dxa" w:w="3168"/>
            <w:shd w:fill="FFFFFF"/>
            <w:tcMar>
              <w:top w:w="90" w:type="dxa"/>
              <w:bottom w:w="90" w:type="dxa"/>
              <w:left w:w="140" w:type="dxa"/>
              <w:right w:w="140" w:type="dxa"/>
            </w:tcMar>
          </w:tcPr>
          <w:p>
            <w:r>
              <w:rPr>
                <w:rFonts w:ascii="Calibri" w:hAnsi="Calibri"/>
                <w:color w:val="2B2B2B"/>
                <w:sz w:val="18"/>
              </w:rPr>
              <w:t>All Raw Source Columns (Exact copy for contractor feedback)</w:t>
            </w:r>
          </w:p>
        </w:tc>
      </w:tr>
      <w:tr>
        <w:tc>
          <w:tcPr>
            <w:tcW w:type="dxa" w:w="2304"/>
            <w:shd w:fill="F8FAFC"/>
            <w:tcMar>
              <w:top w:w="90" w:type="dxa"/>
              <w:bottom w:w="90" w:type="dxa"/>
              <w:left w:w="140" w:type="dxa"/>
              <w:right w:w="140" w:type="dxa"/>
            </w:tcMar>
          </w:tcPr>
          <w:p>
            <w:r>
              <w:rPr>
                <w:rFonts w:ascii="Calibri" w:hAnsi="Calibri"/>
                <w:color w:val="2B2B2B"/>
                <w:sz w:val="18"/>
              </w:rPr>
              <w:t>duplicate_primary_keys.csv</w:t>
            </w:r>
          </w:p>
        </w:tc>
        <w:tc>
          <w:tcPr>
            <w:tcW w:type="dxa" w:w="3888"/>
            <w:shd w:fill="F8FAFC"/>
            <w:tcMar>
              <w:top w:w="90" w:type="dxa"/>
              <w:bottom w:w="90" w:type="dxa"/>
              <w:left w:w="140" w:type="dxa"/>
              <w:right w:w="140" w:type="dxa"/>
            </w:tcMar>
          </w:tcPr>
          <w:p>
            <w:r>
              <w:rPr>
                <w:rFonts w:ascii="Calibri" w:hAnsi="Calibri"/>
                <w:color w:val="2B2B2B"/>
                <w:sz w:val="18"/>
              </w:rPr>
              <w:t>Exact replica of source rows rejected because the Primary Key appeared multiple times in the source spreadsheet.</w:t>
            </w:r>
          </w:p>
        </w:tc>
        <w:tc>
          <w:tcPr>
            <w:tcW w:type="dxa" w:w="3168"/>
            <w:shd w:fill="F8FAFC"/>
            <w:tcMar>
              <w:top w:w="90" w:type="dxa"/>
              <w:bottom w:w="90" w:type="dxa"/>
              <w:left w:w="140" w:type="dxa"/>
              <w:right w:w="140" w:type="dxa"/>
            </w:tcMar>
          </w:tcPr>
          <w:p>
            <w:r>
              <w:rPr>
                <w:rFonts w:ascii="Calibri" w:hAnsi="Calibri"/>
                <w:color w:val="2B2B2B"/>
                <w:sz w:val="18"/>
              </w:rPr>
              <w:t>All Raw Source Columns (Exact copy for deduplication)</w:t>
            </w:r>
          </w:p>
        </w:tc>
      </w:tr>
      <w:tr>
        <w:tc>
          <w:tcPr>
            <w:tcW w:type="dxa" w:w="2304"/>
            <w:shd w:fill="FFFFFF"/>
            <w:tcMar>
              <w:top w:w="90" w:type="dxa"/>
              <w:bottom w:w="90" w:type="dxa"/>
              <w:left w:w="140" w:type="dxa"/>
              <w:right w:w="140" w:type="dxa"/>
            </w:tcMar>
          </w:tcPr>
          <w:p>
            <w:r>
              <w:rPr>
                <w:rFonts w:ascii="Calibri" w:hAnsi="Calibri"/>
                <w:color w:val="2B2B2B"/>
                <w:sz w:val="18"/>
              </w:rPr>
              <w:t>run_summary.txt</w:t>
            </w:r>
          </w:p>
        </w:tc>
        <w:tc>
          <w:tcPr>
            <w:tcW w:type="dxa" w:w="3888"/>
            <w:shd w:fill="FFFFFF"/>
            <w:tcMar>
              <w:top w:w="90" w:type="dxa"/>
              <w:bottom w:w="90" w:type="dxa"/>
              <w:left w:w="140" w:type="dxa"/>
              <w:right w:w="140" w:type="dxa"/>
            </w:tcMar>
          </w:tcPr>
          <w:p>
            <w:r>
              <w:rPr>
                <w:rFonts w:ascii="Calibri" w:hAnsi="Calibri"/>
                <w:color w:val="2B2B2B"/>
                <w:sz w:val="18"/>
              </w:rPr>
              <w:t>Plain text human-readable executive scorecard containing mathematical row counts, validation metrics, and duration.</w:t>
            </w:r>
          </w:p>
        </w:tc>
        <w:tc>
          <w:tcPr>
            <w:tcW w:type="dxa" w:w="3168"/>
            <w:shd w:fill="FFFFFF"/>
            <w:tcMar>
              <w:top w:w="90" w:type="dxa"/>
              <w:bottom w:w="90" w:type="dxa"/>
              <w:left w:w="140" w:type="dxa"/>
              <w:right w:w="140" w:type="dxa"/>
            </w:tcMar>
          </w:tcPr>
          <w:p>
            <w:r>
              <w:rPr>
                <w:rFonts w:ascii="Calibri" w:hAnsi="Calibri"/>
                <w:color w:val="2B2B2B"/>
                <w:sz w:val="18"/>
              </w:rPr>
              <w:t>Total Rows Processed, Valid Records, Modified Records, Errors, Null Wipes, Execution Time</w:t>
            </w:r>
          </w:p>
        </w:tc>
      </w:tr>
    </w:tbl>
    <w:p>
      <w:pPr>
        <w:spacing w:before="40" w:after="120"/>
      </w:pPr>
    </w:p>
    <w:p>
      <w:pPr>
        <w:keepNext/>
        <w:spacing w:before="280" w:after="80"/>
      </w:pPr>
      <w:r>
        <w:rPr>
          <w:rFonts w:ascii="Segoe UI" w:hAnsi="Segoe UI"/>
          <w:b/>
          <w:color w:val="0176D3"/>
          <w:sz w:val="25"/>
        </w:rPr>
        <w:t>2.1 Supplementary Operational Files</w:t>
      </w:r>
    </w:p>
    <w:p>
      <w:pPr>
        <w:pStyle w:val="ListBullet"/>
        <w:spacing w:after="60"/>
      </w:pPr>
      <w:r>
        <w:rPr>
          <w:b/>
          <w:color w:val="0B2149"/>
        </w:rPr>
        <w:t xml:space="preserve">audit.log: </w:t>
      </w:r>
      <w:r>
        <w:rPr>
          <w:color w:val="2B2B2B"/>
        </w:rPr>
        <w:t>Thread-safe diagnostic execution log capturing detailed engine steps, SOQL queries, and API response codes.</w:t>
      </w:r>
    </w:p>
    <w:p>
      <w:pPr>
        <w:pStyle w:val="ListBullet"/>
        <w:spacing w:after="60"/>
      </w:pPr>
      <w:r>
        <w:rPr>
          <w:b/>
          <w:color w:val="0B2149"/>
        </w:rPr>
        <w:t xml:space="preserve">rollback_file.csv: </w:t>
      </w:r>
      <w:r>
        <w:rPr>
          <w:color w:val="2B2B2B"/>
        </w:rPr>
        <w:t>Auto-generated snapshot containing pre-change baseline values for 1-click disaster recovery.</w:t>
      </w:r>
    </w:p>
    <w:p>
      <w:pPr>
        <w:pStyle w:val="ListBullet"/>
        <w:spacing w:after="60"/>
      </w:pPr>
      <w:r>
        <w:rPr>
          <w:b/>
          <w:color w:val="0B2149"/>
        </w:rPr>
        <w:t xml:space="preserve">run_summary.json: </w:t>
      </w:r>
      <w:r>
        <w:rPr>
          <w:color w:val="2B2B2B"/>
        </w:rPr>
        <w:t>Structured JSON telemetry metrics consumed by the Streamlit Run History dashboard and monitoring services.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0B2149"/>
              <w:bottom w:val="none"/>
              <w:right w:val="none"/>
            </w:tcBorders>
            <w:tcMar>
              <w:top w:w="140" w:type="dxa"/>
              <w:bottom w:w="140" w:type="dxa"/>
              <w:left w:w="200" w:type="dxa"/>
              <w:right w:w="160" w:type="dxa"/>
            </w:tcMar>
          </w:tcPr>
          <w:p>
            <w:pPr>
              <w:spacing w:after="60"/>
            </w:pPr>
            <w:r>
              <w:rPr>
                <w:rFonts w:ascii="Segoe UI" w:hAnsi="Segoe UI"/>
                <w:b/>
                <w:color w:val="0B2149"/>
                <w:sz w:val="20"/>
              </w:rPr>
              <w:t>🔒 INVIOLABLE CONTRACT: The Null-Wipe Value Rule (#N/A)</w:t>
              <w:br/>
            </w:r>
            <w:r>
              <w:rPr>
                <w:color w:val="2B2B2B"/>
                <w:sz w:val="19"/>
              </w:rPr>
              <w:t>To prevent contractors from accidentally erasing live Salesforce data by submitting empty spreadsheet cells, empty cells are ignored by default. If a contractor explicitly intends to wipe a field to NULL in Salesforce, they must input the exact string '#N/A'. The engine detects this token and generates an explicit empty DML payload to clear the field safely.</w:t>
            </w:r>
          </w:p>
        </w:tc>
      </w:tr>
    </w:tbl>
    <w:p>
      <w:pPr>
        <w:spacing w:before="40" w:after="40"/>
      </w:pPr>
    </w:p>
    <w:p>
      <w:pPr>
        <w:keepNext/>
        <w:spacing w:before="360" w:after="120"/>
      </w:pPr>
      <w:r>
        <w:rPr>
          <w:rFonts w:ascii="Segoe UI" w:hAnsi="Segoe UI"/>
          <w:b/>
          <w:color w:val="0B2149"/>
          <w:sz w:val="32"/>
        </w:rPr>
        <w:t>3. Access &amp; Authentication Gateway</w:t>
      </w:r>
    </w:p>
    <w:p>
      <w:pPr>
        <w:spacing w:after="80"/>
      </w:pPr>
      <w:r>
        <w:rPr>
          <w:color w:val="2B2B2B"/>
        </w:rPr>
        <w:t>The Sitetracker Data Hub features an enterprise authentication gatekeeper that verifies credentials before permitting any user to access data pipelines or live Salesforce schemas.</w:t>
      </w:r>
    </w:p>
    <w:p>
      <w:pPr>
        <w:keepNext/>
        <w:spacing w:before="280" w:after="80"/>
      </w:pPr>
      <w:r>
        <w:rPr>
          <w:rFonts w:ascii="Segoe UI" w:hAnsi="Segoe UI"/>
          <w:b/>
          <w:color w:val="0176D3"/>
          <w:sz w:val="25"/>
        </w:rPr>
        <w:t>3.1 Server URLs &amp; Endpoints</w:t>
      </w:r>
    </w:p>
    <w:p>
      <w:pPr>
        <w:pStyle w:val="ListBullet"/>
        <w:spacing w:after="60"/>
      </w:pPr>
      <w:r>
        <w:rPr>
          <w:b/>
          <w:color w:val="0B2149"/>
        </w:rPr>
        <w:t xml:space="preserve">Production HTTPS Entry: </w:t>
      </w:r>
      <w:r>
        <w:rPr>
          <w:color w:val="2B2B2B"/>
        </w:rPr>
        <w:t>https://161-118-182-20.sslip.io (Protected by Let's Encrypt TLS 1.3)</w:t>
      </w:r>
    </w:p>
    <w:p>
      <w:pPr>
        <w:pStyle w:val="ListBullet"/>
        <w:spacing w:after="60"/>
      </w:pPr>
      <w:r>
        <w:rPr>
          <w:b/>
          <w:color w:val="0B2149"/>
        </w:rPr>
        <w:t xml:space="preserve">Local / Company Laptop Entry: </w:t>
      </w:r>
      <w:r>
        <w:rPr>
          <w:color w:val="2B2B2B"/>
        </w:rPr>
        <w:t>http://localhost:8501 or http://localhost:8080 (via run_company_laptop_8080.sh)</w:t>
      </w:r>
    </w:p>
    <w:p>
      <w:pPr>
        <w:keepNext/>
        <w:spacing w:before="280" w:after="80"/>
      </w:pPr>
      <w:r>
        <w:rPr>
          <w:rFonts w:ascii="Segoe UI" w:hAnsi="Segoe UI"/>
          <w:b/>
          <w:color w:val="0176D3"/>
          <w:sz w:val="25"/>
        </w:rPr>
        <w:t>3.2 Authentication Methods</w:t>
      </w:r>
    </w:p>
    <w:p>
      <w:pPr>
        <w:spacing w:after="80"/>
      </w:pPr>
      <w:r>
        <w:rPr>
          <w:color w:val="2B2B2B"/>
        </w:rPr>
        <w:t>Operators can connect through either of two enterprise authentication mechanisms:</w:t>
      </w:r>
    </w:p>
    <w:p>
      <w:pPr>
        <w:pStyle w:val="ListBullet"/>
        <w:spacing w:after="60"/>
      </w:pPr>
      <w:r>
        <w:rPr>
          <w:b/>
          <w:color w:val="0B2149"/>
        </w:rPr>
        <w:t xml:space="preserve">Method 1: Direct OAuth 2.0 (PKCE): </w:t>
      </w:r>
      <w:r>
        <w:rPr>
          <w:color w:val="2B2B2B"/>
        </w:rPr>
        <w:t>Click 'Connect with Salesforce', log into your company SSO/OAuth portal, and grant authorization.</w:t>
      </w:r>
    </w:p>
    <w:p>
      <w:pPr>
        <w:pStyle w:val="ListBullet"/>
        <w:spacing w:after="60"/>
      </w:pPr>
      <w:r>
        <w:rPr>
          <w:b/>
          <w:color w:val="0B2149"/>
        </w:rPr>
        <w:t xml:space="preserve">Method 2: Workbench Session Token Injection: </w:t>
      </w:r>
      <w:r>
        <w:rPr>
          <w:color w:val="2B2B2B"/>
        </w:rPr>
        <w:t>For environments with strict IP restrictions or MFA tokens, paste an active Salesforce Session ID copied directly from Salesforce Workbench (workbench.developerforce.com). The token is sanitized and validated on injection.</w:t>
      </w:r>
    </w:p>
    <w:p>
      <w:pPr>
        <w:keepNext/>
        <w:spacing w:before="280" w:after="80"/>
      </w:pPr>
      <w:r>
        <w:rPr>
          <w:rFonts w:ascii="Segoe UI" w:hAnsi="Segoe UI"/>
          <w:b/>
          <w:color w:val="0176D3"/>
          <w:sz w:val="25"/>
        </w:rPr>
        <w:t>3.3 Environment Scoping: Sandbox vs. Production</w:t>
      </w:r>
    </w:p>
    <w:p>
      <w:pPr>
        <w:spacing w:after="80"/>
      </w:pPr>
      <w:r>
        <w:rPr>
          <w:color w:val="2B2B2B"/>
        </w:rPr>
        <w:t>The Gateway provides a prominent environment toggle: Sandbox vs. Production. Always select 'Sandbox' when validating new contractor mapping rules or testing batch updates. An ambient visual badge in the top navigation bar displays your active environment at all times.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Enterprise Login Gateway &amp; Environment Scoping</w:t>
              <w:br/>
            </w:r>
            <w:r>
              <w:rPr>
                <w:i/>
                <w:color w:val="5C6F84"/>
                <w:sz w:val="18"/>
              </w:rPr>
              <w:t>Navigation: Login Gateway (Default landing page when unauthenticated)</w:t>
              <w:br/>
            </w:r>
            <w:r>
              <w:rPr>
                <w:color w:val="2B2B2B"/>
                <w:sz w:val="18"/>
              </w:rPr>
              <w:t>What to capture: The Login Gateway displaying the Sitetracker logo, Environment Toggle (Sandbox / Production), and Workbench Session Token input box.</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3.1: Enterprise Login Gateway &amp; Environment Scoping</w:t>
      </w:r>
    </w:p>
    <w:p>
      <w:pPr>
        <w:keepNext/>
        <w:spacing w:before="360" w:after="120"/>
      </w:pPr>
      <w:r>
        <w:rPr>
          <w:rFonts w:ascii="Segoe UI" w:hAnsi="Segoe UI"/>
          <w:b/>
          <w:color w:val="0B2149"/>
          <w:sz w:val="32"/>
        </w:rPr>
        <w:t>4. Main Navigation &amp; Command Dashboard</w:t>
      </w:r>
    </w:p>
    <w:p>
      <w:pPr>
        <w:spacing w:after="80"/>
      </w:pPr>
      <w:r>
        <w:rPr>
          <w:color w:val="2B2B2B"/>
        </w:rPr>
        <w:t>Upon successful authentication, users arrive at the Central Command Dashboard. From here, operators can launch primary data processing pipelines or access administrative tools.</w:t>
      </w:r>
    </w:p>
    <w:p>
      <w:pPr>
        <w:keepNext/>
        <w:spacing w:before="280" w:after="80"/>
      </w:pPr>
      <w:r>
        <w:rPr>
          <w:rFonts w:ascii="Segoe UI" w:hAnsi="Segoe UI"/>
          <w:b/>
          <w:color w:val="0176D3"/>
          <w:sz w:val="25"/>
        </w:rPr>
        <w:t>4.1 Persistent Top Bar &amp; Telemetry</w:t>
      </w:r>
    </w:p>
    <w:p>
      <w:pPr>
        <w:pStyle w:val="ListBullet"/>
        <w:spacing w:after="60"/>
      </w:pPr>
      <w:r>
        <w:rPr>
          <w:b/>
          <w:color w:val="0B2149"/>
        </w:rPr>
        <w:t xml:space="preserve">Environment Badge: </w:t>
      </w:r>
      <w:r>
        <w:rPr>
          <w:color w:val="2B2B2B"/>
        </w:rPr>
        <w:t>Displays current profile (e.g., 'SANDBOX: test.salesforce.com') with quick switch link.</w:t>
      </w:r>
    </w:p>
    <w:p>
      <w:pPr>
        <w:pStyle w:val="ListBullet"/>
        <w:spacing w:after="60"/>
      </w:pPr>
      <w:r>
        <w:rPr>
          <w:b/>
          <w:color w:val="0B2149"/>
        </w:rPr>
        <w:t xml:space="preserve">Active In-Flight Banner: </w:t>
      </w:r>
      <w:r>
        <w:rPr>
          <w:color w:val="2B2B2B"/>
        </w:rPr>
        <w:t>If a background upload job is actively running on the server, a prominent amber notification banner appears with a direct link to the Live Monitor.</w:t>
      </w:r>
    </w:p>
    <w:p>
      <w:pPr>
        <w:pStyle w:val="ListBullet"/>
        <w:spacing w:after="60"/>
      </w:pPr>
      <w:r>
        <w:rPr>
          <w:b/>
          <w:color w:val="0B2149"/>
        </w:rPr>
        <w:t xml:space="preserve">Notification Bell: </w:t>
      </w:r>
      <w:r>
        <w:rPr>
          <w:color w:val="2B2B2B"/>
        </w:rPr>
        <w:t>Displays in-app alert badges for completed background jobs or scheduled task alerts.</w:t>
      </w:r>
    </w:p>
    <w:p>
      <w:pPr>
        <w:pStyle w:val="ListBullet"/>
        <w:spacing w:after="60"/>
      </w:pPr>
      <w:r>
        <w:rPr>
          <w:b/>
          <w:color w:val="0B2149"/>
        </w:rPr>
        <w:t xml:space="preserve">Profile &amp; Logout: </w:t>
      </w:r>
      <w:r>
        <w:rPr>
          <w:color w:val="2B2B2B"/>
        </w:rPr>
        <w:t>Shows connected username, instance URL, and provides a 1-click secure session termination button.</w:t>
      </w:r>
    </w:p>
    <w:p>
      <w:pPr>
        <w:keepNext/>
        <w:spacing w:before="280" w:after="80"/>
      </w:pPr>
      <w:r>
        <w:rPr>
          <w:rFonts w:ascii="Segoe UI" w:hAnsi="Segoe UI"/>
          <w:b/>
          <w:color w:val="0176D3"/>
          <w:sz w:val="25"/>
        </w:rPr>
        <w:t>4.2 Primary Operation Modules</w:t>
      </w:r>
    </w:p>
    <w:p>
      <w:pPr>
        <w:pStyle w:val="ListBullet"/>
        <w:spacing w:after="60"/>
      </w:pPr>
      <w:r>
        <w:rPr>
          <w:b/>
          <w:color w:val="0B2149"/>
        </w:rPr>
        <w:t xml:space="preserve">📥 Guided Report Pipeline: </w:t>
      </w:r>
      <w:r>
        <w:rPr>
          <w:color w:val="2B2B2B"/>
        </w:rPr>
        <w:t>For standard, recurring weekly contractor reports (e.g. Apollo 10G, Master Site Listing).</w:t>
      </w:r>
    </w:p>
    <w:p>
      <w:pPr>
        <w:pStyle w:val="ListBullet"/>
        <w:spacing w:after="60"/>
      </w:pPr>
      <w:r>
        <w:rPr>
          <w:b/>
          <w:color w:val="0B2149"/>
        </w:rPr>
        <w:t xml:space="preserve">⚡ Ad-Hoc Object Ingestion &amp; Mapping: </w:t>
      </w:r>
      <w:r>
        <w:rPr>
          <w:color w:val="2B2B2B"/>
        </w:rPr>
        <w:t>Manual Dataloader mode for arbitrary CSV/Excel uploads to any Salesforce object.</w:t>
      </w:r>
    </w:p>
    <w:p>
      <w:pPr>
        <w:pStyle w:val="ListBullet"/>
        <w:spacing w:after="60"/>
      </w:pPr>
      <w:r>
        <w:rPr>
          <w:b/>
          <w:color w:val="0B2149"/>
        </w:rPr>
        <w:t xml:space="preserve">📜 Run History &amp; Audit: </w:t>
      </w:r>
      <w:r>
        <w:rPr>
          <w:color w:val="2B2B2B"/>
        </w:rPr>
        <w:t>Browse historical runs, view math scorecards, and re-download past output packages.</w:t>
      </w:r>
    </w:p>
    <w:p>
      <w:pPr>
        <w:pStyle w:val="ListBullet"/>
        <w:spacing w:after="60"/>
      </w:pPr>
      <w:r>
        <w:rPr>
          <w:b/>
          <w:color w:val="0B2149"/>
        </w:rPr>
        <w:t xml:space="preserve">📝 Schema &amp; Mapping Editor: </w:t>
      </w:r>
      <w:r>
        <w:rPr>
          <w:color w:val="2B2B2B"/>
        </w:rPr>
        <w:t>View and update Excel column mappings in the browser without server restarts.</w:t>
      </w:r>
    </w:p>
    <w:p>
      <w:pPr>
        <w:pStyle w:val="ListBullet"/>
        <w:spacing w:after="60"/>
      </w:pPr>
      <w:r>
        <w:rPr>
          <w:b/>
          <w:color w:val="0B2149"/>
        </w:rPr>
        <w:t xml:space="preserve">📤 Salesforce Data Export: </w:t>
      </w:r>
      <w:r>
        <w:rPr>
          <w:color w:val="2B2B2B"/>
        </w:rPr>
        <w:t>Manage active tokens, verify connection health, and query live schemas.</w:t>
      </w:r>
    </w:p>
    <w:p>
      <w:pPr>
        <w:pStyle w:val="ListBullet"/>
        <w:spacing w:after="60"/>
      </w:pPr>
      <w:r>
        <w:rPr>
          <w:b/>
          <w:color w:val="0B2149"/>
        </w:rPr>
        <w:t xml:space="preserve">⏰ Task Scheduler: </w:t>
      </w:r>
      <w:r>
        <w:rPr>
          <w:color w:val="2B2B2B"/>
        </w:rPr>
        <w:t>Configure unattended recurring intervals and automated SOQL delta synchronizations.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Central Command Dashboard &amp; Navigation Cards</w:t>
              <w:br/>
            </w:r>
            <w:r>
              <w:rPr>
                <w:i/>
                <w:color w:val="5C6F84"/>
                <w:sz w:val="18"/>
              </w:rPr>
              <w:t>Navigation: Home Page (app.py)</w:t>
              <w:br/>
            </w:r>
            <w:r>
              <w:rPr>
                <w:color w:val="2B2B2B"/>
                <w:sz w:val="18"/>
              </w:rPr>
              <w:t>What to capture: The main dashboard showing the Persistent Top Bar, Operation Module cards (Guided Pipeline, Ad-Hoc Loader), and Admin utilities.</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4.1: Central Command Dashboard &amp; Navigation Cards</w:t>
      </w:r>
    </w:p>
    <w:p>
      <w:pPr>
        <w:keepNext/>
        <w:spacing w:before="360" w:after="120"/>
      </w:pPr>
      <w:r>
        <w:rPr>
          <w:rFonts w:ascii="Segoe UI" w:hAnsi="Segoe UI"/>
          <w:b/>
          <w:color w:val="0B2149"/>
          <w:sz w:val="32"/>
        </w:rPr>
        <w:t>5. Guided Report Pipeline (Pre-Configured Reports)</w:t>
      </w:r>
    </w:p>
    <w:p>
      <w:pPr>
        <w:spacing w:after="80"/>
      </w:pPr>
      <w:r>
        <w:rPr>
          <w:color w:val="2B2B2B"/>
        </w:rPr>
        <w:t>The Guided Pipeline is the standard operating workflow for routine weekly contractor reports. It guides the operator through a standardized 4-stage Dataloader.io-style stepper wizard:</w:t>
      </w:r>
    </w:p>
    <w:p>
      <w:pPr>
        <w:keepNext/>
        <w:spacing w:before="280" w:after="80"/>
      </w:pPr>
      <w:r>
        <w:rPr>
          <w:rFonts w:ascii="Segoe UI" w:hAnsi="Segoe UI"/>
          <w:b/>
          <w:color w:val="0176D3"/>
          <w:sz w:val="25"/>
        </w:rPr>
        <w:t>Stage 1: Report Selection &amp; File Upload</w:t>
      </w:r>
    </w:p>
    <w:p>
      <w:pPr>
        <w:spacing w:after="80"/>
      </w:pPr>
      <w:r>
        <w:rPr>
          <w:color w:val="2B2B2B"/>
        </w:rPr>
        <w:t>1. Choose the pre-configured report template from the dropdown (e.g., 'Apollo 10G', 'Master Site Listing').</w:t>
        <w:br/>
        <w:t>2. Drag and drop the contractor's raw source file (.csv or .xlsx).</w:t>
        <w:br/>
        <w:t>3. If an Excel workbook contains multiple worksheets, select the designated data sheet from the sheet dropdown.</w:t>
        <w:br/>
        <w:t>4. Review the raw data preview table and click 'Next: Field Mapping ➔'.</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Guided Pipeline — Stage 1: Report Selection &amp; Upload</w:t>
              <w:br/>
            </w:r>
            <w:r>
              <w:rPr>
                <w:i/>
                <w:color w:val="5C6F84"/>
                <w:sz w:val="18"/>
              </w:rPr>
              <w:t>Navigation: Guided Pipeline &gt; Stage 1</w:t>
              <w:br/>
            </w:r>
            <w:r>
              <w:rPr>
                <w:color w:val="2B2B2B"/>
                <w:sz w:val="18"/>
              </w:rPr>
              <w:t>What to capture: Stage 1 showing the selected report template dropdown, file upload drag-and-drop zone, and initial source data preview table.</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5.1: Guided Pipeline — Stage 1: Report Selection &amp; Upload</w:t>
      </w:r>
    </w:p>
    <w:p>
      <w:pPr>
        <w:keepNext/>
        <w:spacing w:before="280" w:after="80"/>
      </w:pPr>
      <w:r>
        <w:rPr>
          <w:rFonts w:ascii="Segoe UI" w:hAnsi="Segoe UI"/>
          <w:b/>
          <w:color w:val="0176D3"/>
          <w:sz w:val="25"/>
        </w:rPr>
        <w:t>Stage 2: Visual Field Mapping Canvas</w:t>
      </w:r>
    </w:p>
    <w:p>
      <w:pPr>
        <w:spacing w:after="80"/>
      </w:pPr>
      <w:r>
        <w:rPr>
          <w:color w:val="2B2B2B"/>
        </w:rPr>
        <w:t>1. The engine reads Mapping_file.xlsx and config/reports/&lt;report&gt;.yml to pre-populate Source-to-Target column pairs.</w:t>
        <w:br/>
        <w:t>2. Green checkmarks indicate exact column matches; yellow badges highlight auto-suggested aliases.</w:t>
        <w:br/>
        <w:t>3. Operators can adjust dropdown mappings, verify Target Sitetracker field names, and click 'Next: Validation &amp; Delta Engine ➔'.</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Guided Pipeline — Stage 2: Visual Field Mapping Canvas</w:t>
              <w:br/>
            </w:r>
            <w:r>
              <w:rPr>
                <w:i/>
                <w:color w:val="5C6F84"/>
                <w:sz w:val="18"/>
              </w:rPr>
              <w:t>Navigation: Guided Pipeline &gt; Stage 2</w:t>
              <w:br/>
            </w:r>
            <w:r>
              <w:rPr>
                <w:color w:val="2B2B2B"/>
                <w:sz w:val="18"/>
              </w:rPr>
              <w:t>What to capture: Stage 2 showing the mapping table with Source Column, Target Salesforce Field, Data Type pill, and green checkmark indicators.</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5.2: Guided Pipeline — Stage 2: Visual Field Mapping Canvas</w:t>
      </w:r>
    </w:p>
    <w:p>
      <w:pPr>
        <w:keepNext/>
        <w:spacing w:before="280" w:after="80"/>
      </w:pPr>
      <w:r>
        <w:rPr>
          <w:rFonts w:ascii="Segoe UI" w:hAnsi="Segoe UI"/>
          <w:b/>
          <w:color w:val="0176D3"/>
          <w:sz w:val="25"/>
        </w:rPr>
        <w:t>Stage 3: Delta &amp; Validation Engine</w:t>
      </w:r>
    </w:p>
    <w:p>
      <w:pPr>
        <w:spacing w:after="80"/>
      </w:pPr>
      <w:r>
        <w:rPr>
          <w:color w:val="2B2B2B"/>
        </w:rPr>
        <w:t>The engine executes an intensive multi-step reconciliation:</w:t>
        <w:br/>
        <w:t>• Baseline Pull: Automatically executes dynamic SOQL queries to fetch live Salesforce state, or accepts a baseline CSV.</w:t>
        <w:br/>
        <w:t>• Primary Key Validation: Quarantines missing keys to invalid_primary_key.csv.</w:t>
        <w:br/>
        <w:t>• Duplicate Check: Quarantines repeated keys to duplicate_primary_keys.csv.</w:t>
        <w:br/>
        <w:t>• Data Normalization: Cleans text strings, normalizes UK dates (DD/MM/YYYY) to ISO (YYYY-MM-DD), and checks data types.</w:t>
        <w:br/>
        <w:t>• Delta Comparison: Identifies rows where contractor values differ from live Salesforce state.</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Guided Pipeline — Stage 3: Delta Comparison &amp; Validation</w:t>
              <w:br/>
            </w:r>
            <w:r>
              <w:rPr>
                <w:i/>
                <w:color w:val="5C6F84"/>
                <w:sz w:val="18"/>
              </w:rPr>
              <w:t>Navigation: Guided Pipeline &gt; Stage 3</w:t>
              <w:br/>
            </w:r>
            <w:r>
              <w:rPr>
                <w:color w:val="2B2B2B"/>
                <w:sz w:val="18"/>
              </w:rPr>
              <w:t>What to capture: Stage 3 displaying the KPI metric cards (Total Processed, Modified Rows, Errors) and the Field-Level Differences preview grid.</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5.3: Guided Pipeline — Stage 3: Delta Comparison &amp; Validation</w:t>
      </w:r>
    </w:p>
    <w:p>
      <w:pPr>
        <w:keepNext/>
        <w:spacing w:before="280" w:after="80"/>
      </w:pPr>
      <w:r>
        <w:rPr>
          <w:rFonts w:ascii="Segoe UI" w:hAnsi="Segoe UI"/>
          <w:b/>
          <w:color w:val="0176D3"/>
          <w:sz w:val="25"/>
        </w:rPr>
        <w:t>Stage 4: Review, Output Downloads &amp; 1-Click Salesforce Ingest</w:t>
      </w:r>
    </w:p>
    <w:p>
      <w:pPr>
        <w:spacing w:after="80"/>
      </w:pPr>
      <w:r>
        <w:rPr>
          <w:color w:val="2B2B2B"/>
        </w:rPr>
        <w:t>1. Download Outputs: Click individual buttons to download final_input_file.csv, field_level_changes.csv, and error CSVs, or download the all-in-one ZIP package.</w:t>
        <w:br/>
        <w:t>2. Select Upload Method:</w:t>
        <w:br/>
        <w:t xml:space="preserve">   • REST Composite SObject Collections (~15-40 seconds for up to 5,000 rows, immediate rollback file).</w:t>
        <w:br/>
        <w:t xml:space="preserve">   • Bulk API 2.0 (Recommended for 10,000+ rows, server-side processing).</w:t>
        <w:br/>
        <w:t>3. Click 'Synchronize to Sitetracker 🚀'. The system uploads changes in micro-batches with live progress bars.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Guided Pipeline — Stage 4: Review, Downloads &amp; Salesforce Ingest</w:t>
              <w:br/>
            </w:r>
            <w:r>
              <w:rPr>
                <w:i/>
                <w:color w:val="5C6F84"/>
                <w:sz w:val="18"/>
              </w:rPr>
              <w:t>Navigation: Guided Pipeline &gt; Stage 4</w:t>
              <w:br/>
            </w:r>
            <w:r>
              <w:rPr>
                <w:color w:val="2B2B2B"/>
                <w:sz w:val="18"/>
              </w:rPr>
              <w:t>What to capture: Stage 4 displaying the 5 Output File download buttons, Upload Mode selector (Composite vs Bulk 2.0), and Synchronize button.</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5.4: Guided Pipeline — Stage 4: Review, Downloads &amp; Salesforce Ingest</w:t>
      </w:r>
    </w:p>
    <w:p>
      <w:pPr>
        <w:keepNext/>
        <w:spacing w:before="360" w:after="120"/>
      </w:pPr>
      <w:r>
        <w:rPr>
          <w:rFonts w:ascii="Segoe UI" w:hAnsi="Segoe UI"/>
          <w:b/>
          <w:color w:val="0B2149"/>
          <w:sz w:val="32"/>
        </w:rPr>
        <w:t>6. Ad-Hoc Object Ingestion &amp; Mapping (Manual Dataloader)</w:t>
      </w:r>
    </w:p>
    <w:p>
      <w:pPr>
        <w:spacing w:after="80"/>
      </w:pPr>
      <w:r>
        <w:rPr>
          <w:color w:val="2B2B2B"/>
        </w:rPr>
        <w:t>When an operator receives an ad-hoc contractor spreadsheet for a Salesforce object that does NOT have a pre-configured report template, they use the Manual Dataloader mode. This mode dynamically inspects the live Salesforce schema.</w:t>
      </w:r>
    </w:p>
    <w:p>
      <w:pPr>
        <w:keepNext/>
        <w:spacing w:before="280" w:after="80"/>
      </w:pPr>
      <w:r>
        <w:rPr>
          <w:rFonts w:ascii="Segoe UI" w:hAnsi="Segoe UI"/>
          <w:b/>
          <w:color w:val="0176D3"/>
          <w:sz w:val="25"/>
        </w:rPr>
        <w:t>Step-by-Step Ad-Hoc Workflow:</w:t>
      </w:r>
    </w:p>
    <w:p>
      <w:pPr>
        <w:pStyle w:val="ListBullet"/>
        <w:spacing w:after="60"/>
      </w:pPr>
      <w:r>
        <w:rPr>
          <w:b/>
          <w:color w:val="0B2149"/>
        </w:rPr>
        <w:t xml:space="preserve">Step 1: File Upload: </w:t>
      </w:r>
      <w:r>
        <w:rPr>
          <w:color w:val="2B2B2B"/>
        </w:rPr>
        <w:t>Upload any custom CSV or Excel file.</w:t>
      </w:r>
    </w:p>
    <w:p>
      <w:pPr>
        <w:pStyle w:val="ListBullet"/>
        <w:spacing w:after="60"/>
      </w:pPr>
      <w:r>
        <w:rPr>
          <w:b/>
          <w:color w:val="0B2149"/>
        </w:rPr>
        <w:t xml:space="preserve">Step 2: Object &amp; Key Selection: </w:t>
      </w:r>
      <w:r>
        <w:rPr>
          <w:color w:val="2B2B2B"/>
        </w:rPr>
        <w:t>The app queries describeGlobal() to list all available Salesforce objects (e.g. sitetracker__Site__c, sitetracker__Job__c). Select the Target Object and designate the Primary Key column (e.g. Id or External_Id__c).</w:t>
      </w:r>
    </w:p>
    <w:p>
      <w:pPr>
        <w:pStyle w:val="ListBullet"/>
        <w:spacing w:after="60"/>
      </w:pPr>
      <w:r>
        <w:rPr>
          <w:b/>
          <w:color w:val="0B2149"/>
        </w:rPr>
        <w:t xml:space="preserve">Step 3: Dynamic Field Mapping: </w:t>
      </w:r>
      <w:r>
        <w:rPr>
          <w:color w:val="2B2B2B"/>
        </w:rPr>
        <w:t>The UI inspects the object schema via describeSObject(). Operators match source columns to updateable Salesforce fields with fuzzy auto-matching.</w:t>
      </w:r>
    </w:p>
    <w:p>
      <w:pPr>
        <w:pStyle w:val="ListBullet"/>
        <w:spacing w:after="60"/>
      </w:pPr>
      <w:r>
        <w:rPr>
          <w:b/>
          <w:color w:val="0B2149"/>
        </w:rPr>
        <w:t xml:space="preserve">Step 4: Live Diff &amp; Upload with 1-Click Rollback: </w:t>
      </w:r>
      <w:r>
        <w:rPr>
          <w:color w:val="2B2B2B"/>
        </w:rPr>
        <w:t>The engine queries live Salesforce values for all uploaded IDs, computes field deltas, and generates an automatic rollback file before executing updates.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Manual Dataloader — Object Selection &amp; Primary Key Designation</w:t>
              <w:br/>
            </w:r>
            <w:r>
              <w:rPr>
                <w:i/>
                <w:color w:val="5C6F84"/>
                <w:sz w:val="18"/>
              </w:rPr>
              <w:t>Navigation: Manual Dataloader &gt; Step 2</w:t>
              <w:br/>
            </w:r>
            <w:r>
              <w:rPr>
                <w:color w:val="2B2B2B"/>
                <w:sz w:val="18"/>
              </w:rPr>
              <w:t>What to capture: Step 2 of Manual Dataloader showing the Target Object search dropdown and Primary Key selector.</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6.1: Manual Dataloader — Object Selection &amp; Primary Key Designation</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Manual Dataloader — Diff Review &amp; 1-Click Rollback Generation</w:t>
              <w:br/>
            </w:r>
            <w:r>
              <w:rPr>
                <w:i/>
                <w:color w:val="5C6F84"/>
                <w:sz w:val="18"/>
              </w:rPr>
              <w:t>Navigation: Manual Dataloader &gt; Step 4</w:t>
              <w:br/>
            </w:r>
            <w:r>
              <w:rPr>
                <w:color w:val="2B2B2B"/>
                <w:sz w:val="18"/>
              </w:rPr>
              <w:t>What to capture: Step 4 showing the Delta Diff review grid, Download Rollback CSV button, and Upload Execution controls.</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6.2: Manual Dataloader — Diff Review &amp; 1-Click Rollback Generation</w:t>
      </w:r>
    </w:p>
    <w:tbl>
      <w:tblPr>
        <w:tblW w:type="auto" w:w="0"/>
        <w:jc w:val="center"/>
        <w:tblLayout w:type="fixed"/>
        <w:tblLook w:firstColumn="1" w:firstRow="1" w:lastColumn="0" w:lastRow="0" w:noHBand="0" w:noVBand="1" w:val="04A0"/>
      </w:tblPr>
      <w:tblGrid>
        <w:gridCol w:w="9360"/>
      </w:tblGrid>
      <w:tr>
        <w:tc>
          <w:tcPr>
            <w:tcW w:type="dxa" w:w="9360"/>
            <w:shd w:fill="F0F9F3"/>
            <w:tcBorders>
              <w:top w:val="none"/>
              <w:left w:val="single" w:sz="24" w:space="0" w:color="2E844A"/>
              <w:bottom w:val="none"/>
              <w:right w:val="none"/>
            </w:tcBorders>
            <w:tcMar>
              <w:top w:w="140" w:type="dxa"/>
              <w:bottom w:w="140" w:type="dxa"/>
              <w:left w:w="200" w:type="dxa"/>
              <w:right w:w="160" w:type="dxa"/>
            </w:tcMar>
          </w:tcPr>
          <w:p>
            <w:pPr>
              <w:spacing w:after="60"/>
            </w:pPr>
            <w:r>
              <w:rPr>
                <w:rFonts w:ascii="Segoe UI" w:hAnsi="Segoe UI"/>
                <w:b/>
                <w:color w:val="0B2149"/>
                <w:sz w:val="20"/>
              </w:rPr>
              <w:t>💡 PRO TIP: 1-Click Rollback File Guarantee</w:t>
              <w:br/>
            </w:r>
            <w:r>
              <w:rPr>
                <w:color w:val="2B2B2B"/>
                <w:sz w:val="19"/>
              </w:rPr>
              <w:t>Whenever updates are uploaded via Manual Dataloader mode, the engine captures the pre-change baseline state and exports a rollback_file.csv. If an operator discovers an error in contractor data post-upload, they can immediately upload this rollback file to restore the Salesforce database to its exact prior state.</w:t>
            </w:r>
          </w:p>
        </w:tc>
      </w:tr>
    </w:tbl>
    <w:p>
      <w:pPr>
        <w:spacing w:before="40" w:after="40"/>
      </w:pPr>
    </w:p>
    <w:p>
      <w:pPr>
        <w:keepNext/>
        <w:spacing w:before="360" w:after="120"/>
      </w:pPr>
      <w:r>
        <w:rPr>
          <w:rFonts w:ascii="Segoe UI" w:hAnsi="Segoe UI"/>
          <w:b/>
          <w:color w:val="0B2149"/>
          <w:sz w:val="32"/>
        </w:rPr>
        <w:t>7. Run History &amp; Audit Replay</w:t>
      </w:r>
    </w:p>
    <w:p>
      <w:pPr>
        <w:spacing w:after="80"/>
      </w:pPr>
      <w:r>
        <w:rPr>
          <w:color w:val="2B2B2B"/>
        </w:rPr>
        <w:t>Every single engine run is permanently recorded on the server. The Run History page allows operators to inspect past runs, view historical KPI metric cards, re-download output packages, and verify audit trails.</w:t>
      </w:r>
    </w:p>
    <w:p>
      <w:pPr>
        <w:pStyle w:val="ListBullet"/>
        <w:spacing w:after="60"/>
      </w:pPr>
      <w:r>
        <w:rPr>
          <w:b/>
          <w:color w:val="0B2149"/>
        </w:rPr>
        <w:t xml:space="preserve">Run Table Search: </w:t>
      </w:r>
      <w:r>
        <w:rPr>
          <w:color w:val="2B2B2B"/>
        </w:rPr>
        <w:t>Filter runs by report type, timestamp, or execution mode.</w:t>
      </w:r>
    </w:p>
    <w:p>
      <w:pPr>
        <w:pStyle w:val="ListBullet"/>
        <w:spacing w:after="60"/>
      </w:pPr>
      <w:r>
        <w:rPr>
          <w:b/>
          <w:color w:val="0B2149"/>
        </w:rPr>
        <w:t xml:space="preserve">Executive KPI Cards: </w:t>
      </w:r>
      <w:r>
        <w:rPr>
          <w:color w:val="2B2B2B"/>
        </w:rPr>
        <w:t>View Total Rows, Modified Records, Quarantined Errors, and Execution Duration.</w:t>
      </w:r>
    </w:p>
    <w:p>
      <w:pPr>
        <w:pStyle w:val="ListBullet"/>
        <w:spacing w:after="60"/>
      </w:pPr>
      <w:r>
        <w:rPr>
          <w:b/>
          <w:color w:val="0B2149"/>
        </w:rPr>
        <w:t xml:space="preserve">1-Click Package Re-download: </w:t>
      </w:r>
      <w:r>
        <w:rPr>
          <w:color w:val="2B2B2B"/>
        </w:rPr>
        <w:t>Download any past run's 5 standard output files or inspection inputs.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Run History &amp; Execution Audit Dashboard</w:t>
              <w:br/>
            </w:r>
            <w:r>
              <w:rPr>
                <w:i/>
                <w:color w:val="5C6F84"/>
                <w:sz w:val="18"/>
              </w:rPr>
              <w:t>Navigation: Run History (ui/run_history.py)</w:t>
              <w:br/>
            </w:r>
            <w:r>
              <w:rPr>
                <w:color w:val="2B2B2B"/>
                <w:sz w:val="18"/>
              </w:rPr>
              <w:t>What to capture: Run History table with timestamped runs, KPI metric cards, and individual file download buttons.</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7.1: Run History &amp; Execution Audit Dashboard</w:t>
      </w:r>
    </w:p>
    <w:p>
      <w:pPr>
        <w:keepNext/>
        <w:spacing w:before="360" w:after="120"/>
      </w:pPr>
      <w:r>
        <w:rPr>
          <w:rFonts w:ascii="Segoe UI" w:hAnsi="Segoe UI"/>
          <w:b/>
          <w:color w:val="0B2149"/>
          <w:sz w:val="32"/>
        </w:rPr>
        <w:t>8. Interactive Schema &amp; Mapping Editor</w:t>
      </w:r>
    </w:p>
    <w:p>
      <w:pPr>
        <w:spacing w:after="80"/>
      </w:pPr>
      <w:r>
        <w:rPr>
          <w:color w:val="2B2B2B"/>
        </w:rPr>
        <w:t>The Mapping Editor allows administrators to inspect and update column mapping rules directly within the web interface, eliminating the need to manually open Excel on the server or restart Python processes.</w:t>
      </w:r>
    </w:p>
    <w:p>
      <w:pPr>
        <w:pStyle w:val="ListBullet"/>
        <w:spacing w:after="60"/>
      </w:pPr>
      <w:r>
        <w:rPr>
          <w:b/>
          <w:color w:val="0B2149"/>
        </w:rPr>
        <w:t xml:space="preserve">Excel Column Rule Management: </w:t>
      </w:r>
      <w:r>
        <w:rPr>
          <w:color w:val="2B2B2B"/>
        </w:rPr>
        <w:t>Modify Source Column aliases, Target Sitetracker fields, and data type definitions.</w:t>
      </w:r>
    </w:p>
    <w:p>
      <w:pPr>
        <w:pStyle w:val="ListBullet"/>
        <w:spacing w:after="60"/>
      </w:pPr>
      <w:r>
        <w:rPr>
          <w:b/>
          <w:color w:val="0B2149"/>
        </w:rPr>
        <w:t xml:space="preserve">Revision History &amp; Rollback: </w:t>
      </w:r>
      <w:r>
        <w:rPr>
          <w:color w:val="2B2B2B"/>
        </w:rPr>
        <w:t>Every edit creates an automatic backup in data/mapping_history/ for safe rollbacks.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Interactive Schema &amp; Mapping Editor</w:t>
              <w:br/>
            </w:r>
            <w:r>
              <w:rPr>
                <w:i/>
                <w:color w:val="5C6F84"/>
                <w:sz w:val="18"/>
              </w:rPr>
              <w:t>Navigation: Mapping Editor (ui/mapping_editor.py)</w:t>
              <w:br/>
            </w:r>
            <w:r>
              <w:rPr>
                <w:color w:val="2B2B2B"/>
                <w:sz w:val="18"/>
              </w:rPr>
              <w:t>What to capture: Mapping Editor screen displaying editable mapping rows, data type selectors, and Save Changes button.</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8.1: Interactive Schema &amp; Mapping Editor</w:t>
      </w:r>
    </w:p>
    <w:p>
      <w:pPr>
        <w:keepNext/>
        <w:spacing w:before="360" w:after="120"/>
      </w:pPr>
      <w:r>
        <w:rPr>
          <w:rFonts w:ascii="Segoe UI" w:hAnsi="Segoe UI"/>
          <w:b/>
          <w:color w:val="0B2149"/>
          <w:sz w:val="32"/>
        </w:rPr>
        <w:t>9. Task Scheduler &amp; Persistent Job Queue</w:t>
      </w:r>
    </w:p>
    <w:p>
      <w:pPr>
        <w:spacing w:after="80"/>
      </w:pPr>
      <w:r>
        <w:rPr>
          <w:color w:val="2B2B2B"/>
        </w:rPr>
        <w:t>The Task Scheduler enables automated, unattended data reconciliation. Operators can configure jobs to run at designated future datetimes or on recurring schedules (Hourly, Daily, Weekly, Monthly).</w:t>
      </w:r>
    </w:p>
    <w:p>
      <w:pPr>
        <w:pStyle w:val="ListBullet"/>
        <w:spacing w:after="60"/>
      </w:pPr>
      <w:r>
        <w:rPr>
          <w:b/>
          <w:color w:val="0B2149"/>
        </w:rPr>
        <w:t xml:space="preserve">Timezone Precision: </w:t>
      </w:r>
      <w:r>
        <w:rPr>
          <w:color w:val="2B2B2B"/>
        </w:rPr>
        <w:t>All schedules are evaluated in Europe/London timezone with daylight saving support.</w:t>
      </w:r>
    </w:p>
    <w:p>
      <w:pPr>
        <w:pStyle w:val="ListBullet"/>
        <w:spacing w:after="60"/>
      </w:pPr>
      <w:r>
        <w:rPr>
          <w:b/>
          <w:color w:val="0B2149"/>
        </w:rPr>
        <w:t xml:space="preserve">Persistent SQLite Queue (WAL Mode): </w:t>
      </w:r>
      <w:r>
        <w:rPr>
          <w:color w:val="2B2B2B"/>
        </w:rPr>
        <w:t>Job state survives server reboots. Interrupted jobs are automatically detected and marked.</w:t>
      </w:r>
    </w:p>
    <w:p>
      <w:pPr>
        <w:pStyle w:val="ListBullet"/>
        <w:spacing w:after="60"/>
      </w:pPr>
      <w:r>
        <w:rPr>
          <w:b/>
          <w:color w:val="0B2149"/>
        </w:rPr>
        <w:t xml:space="preserve">Multi-Channel Alerting: </w:t>
      </w:r>
      <w:r>
        <w:rPr>
          <w:color w:val="2B2B2B"/>
        </w:rPr>
        <w:t>Dispatches completion and failure alerts via In-App badges, SMTP Email, Slack Block Kit, and MS Teams.</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Task Scheduler Management Dashboard</w:t>
              <w:br/>
            </w:r>
            <w:r>
              <w:rPr>
                <w:i/>
                <w:color w:val="5C6F84"/>
                <w:sz w:val="18"/>
              </w:rPr>
              <w:t>Navigation: Task Scheduler (ui/task_scheduler.py)</w:t>
              <w:br/>
            </w:r>
            <w:r>
              <w:rPr>
                <w:color w:val="2B2B2B"/>
                <w:sz w:val="18"/>
              </w:rPr>
              <w:t>What to capture: Task Scheduler interface showing active schedule cards, interval selectors, and notification channel toggles.</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9.1: Task Scheduler Management Dashboard</w:t>
      </w:r>
    </w:p>
    <w:p>
      <w:pPr>
        <w:keepNext/>
        <w:spacing w:before="360" w:after="120"/>
      </w:pPr>
      <w:r>
        <w:rPr>
          <w:rFonts w:ascii="Segoe UI" w:hAnsi="Segoe UI"/>
          <w:b/>
          <w:color w:val="0B2149"/>
          <w:sz w:val="32"/>
        </w:rPr>
        <w:t>10. Real-Time Telemetry &amp; Live Monitor</w:t>
      </w:r>
    </w:p>
    <w:p>
      <w:pPr>
        <w:spacing w:after="80"/>
      </w:pPr>
      <w:r>
        <w:rPr>
          <w:color w:val="2B2B2B"/>
        </w:rPr>
        <w:t>When large uploads (10,000+ records) are submitted, they execute in the background via the Background Ingest Job Manager. The Live Monitor page provides real-time telemetry into worker execution.</w:t>
      </w:r>
    </w:p>
    <w:p>
      <w:pPr>
        <w:pStyle w:val="ListBullet"/>
        <w:spacing w:after="60"/>
      </w:pPr>
      <w:r>
        <w:rPr>
          <w:b/>
          <w:color w:val="0B2149"/>
        </w:rPr>
        <w:t xml:space="preserve">Session Reconnection: </w:t>
      </w:r>
      <w:r>
        <w:rPr>
          <w:color w:val="2B2B2B"/>
        </w:rPr>
        <w:t>Operators can safely close their browser; upon returning, the monitor reconnects to the active background job.</w:t>
      </w:r>
    </w:p>
    <w:p>
      <w:pPr>
        <w:pStyle w:val="ListBullet"/>
        <w:spacing w:after="60"/>
      </w:pPr>
      <w:r>
        <w:rPr>
          <w:b/>
          <w:color w:val="0B2149"/>
        </w:rPr>
        <w:t xml:space="preserve">Chunk Progress &amp; Metrics: </w:t>
      </w:r>
      <w:r>
        <w:rPr>
          <w:color w:val="2B2B2B"/>
        </w:rPr>
        <w:t>Displays micro-batch upload velocity, success/failure counts, and Salesforce API governor limit consumption.</w:t>
      </w:r>
    </w:p>
    <w:tbl>
      <w:tblPr>
        <w:tblW w:type="auto" w:w="0"/>
        <w:jc w:val="center"/>
        <w:tblLayout w:type="fixed"/>
        <w:tblLook w:firstColumn="1" w:firstRow="1" w:lastColumn="0" w:lastRow="0" w:noHBand="0" w:noVBand="1" w:val="04A0"/>
      </w:tblPr>
      <w:tblGrid>
        <w:gridCol w:w="9360"/>
      </w:tblGrid>
      <w:tr>
        <w:tc>
          <w:tcPr>
            <w:tcW w:type="dxa" w:w="9360"/>
            <w:shd w:fill="F4F8FB"/>
            <w:tcBorders>
              <w:top w:val="single" w:sz="10" w:space="0" w:color="0176D3"/>
              <w:left w:val="single" w:sz="10" w:space="0" w:color="0176D3"/>
              <w:bottom w:val="single" w:sz="10" w:space="0" w:color="0176D3"/>
              <w:right w:val="single" w:sz="10" w:space="0" w:color="0176D3"/>
            </w:tcBorders>
            <w:tcMar>
              <w:top w:w="180" w:type="dxa"/>
              <w:bottom w:w="180" w:type="dxa"/>
              <w:left w:w="220" w:type="dxa"/>
              <w:right w:w="220" w:type="dxa"/>
            </w:tcMar>
          </w:tcPr>
          <w:p>
            <w:pPr>
              <w:spacing w:after="80"/>
              <w:jc w:val="center"/>
            </w:pPr>
            <w:r>
              <w:rPr>
                <w:rFonts w:ascii="Segoe UI" w:hAnsi="Segoe UI"/>
                <w:b/>
                <w:color w:val="0176D3"/>
                <w:sz w:val="22"/>
              </w:rPr>
              <w:t>📷 [PASTE SCREENSHOT HERE]</w:t>
              <w:br/>
            </w:r>
            <w:r>
              <w:rPr>
                <w:rFonts w:ascii="Calibri" w:hAnsi="Calibri"/>
                <w:b/>
                <w:color w:val="0B2149"/>
                <w:sz w:val="20"/>
              </w:rPr>
              <w:t>Screen: Real-Time Telemetry &amp; Background Ingest Monitor</w:t>
              <w:br/>
            </w:r>
            <w:r>
              <w:rPr>
                <w:i/>
                <w:color w:val="5C6F84"/>
                <w:sz w:val="18"/>
              </w:rPr>
              <w:t>Navigation: Live Monitor (ui/live_monitor.py)</w:t>
              <w:br/>
            </w:r>
            <w:r>
              <w:rPr>
                <w:color w:val="2B2B2B"/>
                <w:sz w:val="18"/>
              </w:rPr>
              <w:t>What to capture: Live Monitor showing active progress bar, processed chunks, success/error metrics, and error log viewer.</w:t>
              <w:br/>
            </w:r>
            <w:r>
              <w:rPr>
                <w:color w:val="5C6F84"/>
                <w:sz w:val="17"/>
              </w:rPr>
              <w:t>👉 (In Word: Select this box, press Delete, and Paste (Ctrl+V) your screenshot image)</w:t>
            </w:r>
          </w:p>
        </w:tc>
      </w:tr>
    </w:tbl>
    <w:p>
      <w:pPr>
        <w:spacing w:before="60" w:after="200"/>
        <w:jc w:val="center"/>
      </w:pPr>
      <w:r>
        <w:rPr>
          <w:rFonts w:ascii="Calibri" w:hAnsi="Calibri"/>
          <w:i/>
          <w:color w:val="5C6F84"/>
          <w:sz w:val="18"/>
        </w:rPr>
        <w:t>Figure 10.1: Real-Time Telemetry &amp; Background Ingest Monitor</w:t>
      </w:r>
    </w:p>
    <w:p>
      <w:pPr>
        <w:keepNext/>
        <w:spacing w:before="360" w:after="120"/>
      </w:pPr>
      <w:r>
        <w:rPr>
          <w:rFonts w:ascii="Segoe UI" w:hAnsi="Segoe UI"/>
          <w:b/>
          <w:color w:val="0B2149"/>
          <w:sz w:val="32"/>
        </w:rPr>
        <w:t>11. Troubleshooting &amp; Quick FAQ</w:t>
      </w:r>
    </w:p>
    <w:p>
      <w:pPr>
        <w:spacing w:after="80"/>
      </w:pPr>
      <w:r>
        <w:rPr>
          <w:color w:val="2B2B2B"/>
        </w:rPr>
        <w:t>This section outlines common operational scenarios and their rapid resolutions:</w:t>
      </w:r>
    </w:p>
    <w:tbl>
      <w:tblPr>
        <w:tblW w:type="auto" w:w="0"/>
        <w:jc w:val="center"/>
        <w:tblLayout w:type="fixed"/>
        <w:tblLook w:firstColumn="1" w:firstRow="1" w:lastColumn="0" w:lastRow="0" w:noHBand="0" w:noVBand="1" w:val="04A0"/>
        <w:tblBorders>
          <w:top w:val="single" w:sz="6" w:space="0" w:color="D8DDE6"/>
          <w:bottom w:val="single" w:sz="8" w:space="0" w:color="0B2149"/>
          <w:left w:val="none"/>
          <w:right w:val="none"/>
          <w:insideH w:val="single" w:sz="4" w:space="0" w:color="D8DDE6"/>
          <w:insideV w:val="none"/>
        </w:tblBorders>
      </w:tblPr>
      <w:tblGrid>
        <w:gridCol w:w="3120"/>
        <w:gridCol w:w="3120"/>
        <w:gridCol w:w="3120"/>
      </w:tblGrid>
      <w:tr>
        <w:tc>
          <w:tcPr>
            <w:tcW w:type="dxa" w:w="2592"/>
            <w:shd w:fill="0B2149"/>
            <w:tcMar>
              <w:top w:w="120" w:type="dxa"/>
              <w:bottom w:w="120" w:type="dxa"/>
              <w:left w:w="140" w:type="dxa"/>
              <w:right w:w="140" w:type="dxa"/>
            </w:tcMar>
          </w:tcPr>
          <w:p>
            <w:pPr>
              <w:jc w:val="left"/>
            </w:pPr>
            <w:r>
              <w:rPr>
                <w:rFonts w:ascii="Segoe UI" w:hAnsi="Segoe UI"/>
                <w:b/>
                <w:color w:val="FFFFFF"/>
                <w:sz w:val="19"/>
              </w:rPr>
              <w:t>Symptom / Error</w:t>
            </w:r>
          </w:p>
        </w:tc>
        <w:tc>
          <w:tcPr>
            <w:tcW w:type="dxa" w:w="3312"/>
            <w:shd w:fill="0B2149"/>
            <w:tcMar>
              <w:top w:w="120" w:type="dxa"/>
              <w:bottom w:w="120" w:type="dxa"/>
              <w:left w:w="140" w:type="dxa"/>
              <w:right w:w="140" w:type="dxa"/>
            </w:tcMar>
          </w:tcPr>
          <w:p>
            <w:pPr>
              <w:jc w:val="left"/>
            </w:pPr>
            <w:r>
              <w:rPr>
                <w:rFonts w:ascii="Segoe UI" w:hAnsi="Segoe UI"/>
                <w:b/>
                <w:color w:val="FFFFFF"/>
                <w:sz w:val="19"/>
              </w:rPr>
              <w:t>Root Cause Analysis</w:t>
            </w:r>
          </w:p>
        </w:tc>
        <w:tc>
          <w:tcPr>
            <w:tcW w:type="dxa" w:w="3456"/>
            <w:shd w:fill="0B2149"/>
            <w:tcMar>
              <w:top w:w="120" w:type="dxa"/>
              <w:bottom w:w="120" w:type="dxa"/>
              <w:left w:w="140" w:type="dxa"/>
              <w:right w:w="140" w:type="dxa"/>
            </w:tcMar>
          </w:tcPr>
          <w:p>
            <w:pPr>
              <w:jc w:val="left"/>
            </w:pPr>
            <w:r>
              <w:rPr>
                <w:rFonts w:ascii="Segoe UI" w:hAnsi="Segoe UI"/>
                <w:b/>
                <w:color w:val="FFFFFF"/>
                <w:sz w:val="19"/>
              </w:rPr>
              <w:t>Operator Resolution Action</w:t>
            </w:r>
          </w:p>
        </w:tc>
      </w:tr>
      <w:tr>
        <w:tc>
          <w:tcPr>
            <w:tcW w:type="dxa" w:w="2592"/>
            <w:shd w:fill="FFFFFF"/>
            <w:tcMar>
              <w:top w:w="90" w:type="dxa"/>
              <w:bottom w:w="90" w:type="dxa"/>
              <w:left w:w="140" w:type="dxa"/>
              <w:right w:w="140" w:type="dxa"/>
            </w:tcMar>
          </w:tcPr>
          <w:p>
            <w:r>
              <w:rPr>
                <w:rFonts w:ascii="Calibri" w:hAnsi="Calibri"/>
                <w:color w:val="2B2B2B"/>
                <w:sz w:val="18"/>
              </w:rPr>
              <w:t>Rows quarantined in invalid_primary_key.csv</w:t>
            </w:r>
          </w:p>
        </w:tc>
        <w:tc>
          <w:tcPr>
            <w:tcW w:type="dxa" w:w="3312"/>
            <w:shd w:fill="FFFFFF"/>
            <w:tcMar>
              <w:top w:w="90" w:type="dxa"/>
              <w:bottom w:w="90" w:type="dxa"/>
              <w:left w:w="140" w:type="dxa"/>
              <w:right w:w="140" w:type="dxa"/>
            </w:tcMar>
          </w:tcPr>
          <w:p>
            <w:r>
              <w:rPr>
                <w:rFonts w:ascii="Calibri" w:hAnsi="Calibri"/>
                <w:color w:val="2B2B2B"/>
                <w:sz w:val="18"/>
              </w:rPr>
              <w:t>Contractor submitted blank cells or whitespace in the designated Primary Key column.</w:t>
            </w:r>
          </w:p>
        </w:tc>
        <w:tc>
          <w:tcPr>
            <w:tcW w:type="dxa" w:w="3456"/>
            <w:shd w:fill="FFFFFF"/>
            <w:tcMar>
              <w:top w:w="90" w:type="dxa"/>
              <w:bottom w:w="90" w:type="dxa"/>
              <w:left w:w="140" w:type="dxa"/>
              <w:right w:w="140" w:type="dxa"/>
            </w:tcMar>
          </w:tcPr>
          <w:p>
            <w:r>
              <w:rPr>
                <w:rFonts w:ascii="Calibri" w:hAnsi="Calibri"/>
                <w:color w:val="2B2B2B"/>
                <w:sz w:val="18"/>
              </w:rPr>
              <w:t>Forward invalid_primary_key.csv back to the contractor for key remediation. Valid rows can proceed immediately.</w:t>
            </w:r>
          </w:p>
        </w:tc>
      </w:tr>
      <w:tr>
        <w:tc>
          <w:tcPr>
            <w:tcW w:type="dxa" w:w="2592"/>
            <w:shd w:fill="F8FAFC"/>
            <w:tcMar>
              <w:top w:w="90" w:type="dxa"/>
              <w:bottom w:w="90" w:type="dxa"/>
              <w:left w:w="140" w:type="dxa"/>
              <w:right w:w="140" w:type="dxa"/>
            </w:tcMar>
          </w:tcPr>
          <w:p>
            <w:r>
              <w:rPr>
                <w:rFonts w:ascii="Calibri" w:hAnsi="Calibri"/>
                <w:color w:val="2B2B2B"/>
                <w:sz w:val="18"/>
              </w:rPr>
              <w:t>Rows quarantined in duplicate_primary_keys.csv</w:t>
            </w:r>
          </w:p>
        </w:tc>
        <w:tc>
          <w:tcPr>
            <w:tcW w:type="dxa" w:w="3312"/>
            <w:shd w:fill="F8FAFC"/>
            <w:tcMar>
              <w:top w:w="90" w:type="dxa"/>
              <w:bottom w:w="90" w:type="dxa"/>
              <w:left w:w="140" w:type="dxa"/>
              <w:right w:w="140" w:type="dxa"/>
            </w:tcMar>
          </w:tcPr>
          <w:p>
            <w:r>
              <w:rPr>
                <w:rFonts w:ascii="Calibri" w:hAnsi="Calibri"/>
                <w:color w:val="2B2B2B"/>
                <w:sz w:val="18"/>
              </w:rPr>
              <w:t>The same Primary Key appeared multiple times in the source spreadsheet.</w:t>
            </w:r>
          </w:p>
        </w:tc>
        <w:tc>
          <w:tcPr>
            <w:tcW w:type="dxa" w:w="3456"/>
            <w:shd w:fill="F8FAFC"/>
            <w:tcMar>
              <w:top w:w="90" w:type="dxa"/>
              <w:bottom w:w="90" w:type="dxa"/>
              <w:left w:w="140" w:type="dxa"/>
              <w:right w:w="140" w:type="dxa"/>
            </w:tcMar>
          </w:tcPr>
          <w:p>
            <w:r>
              <w:rPr>
                <w:rFonts w:ascii="Calibri" w:hAnsi="Calibri"/>
                <w:color w:val="2B2B2B"/>
                <w:sz w:val="18"/>
              </w:rPr>
              <w:t>Review duplicate_primary_keys.csv with contractor to determine which row represents the canonical latest state.</w:t>
            </w:r>
          </w:p>
        </w:tc>
      </w:tr>
      <w:tr>
        <w:tc>
          <w:tcPr>
            <w:tcW w:type="dxa" w:w="2592"/>
            <w:shd w:fill="FFFFFF"/>
            <w:tcMar>
              <w:top w:w="90" w:type="dxa"/>
              <w:bottom w:w="90" w:type="dxa"/>
              <w:left w:w="140" w:type="dxa"/>
              <w:right w:w="140" w:type="dxa"/>
            </w:tcMar>
          </w:tcPr>
          <w:p>
            <w:r>
              <w:rPr>
                <w:rFonts w:ascii="Calibri" w:hAnsi="Calibri"/>
                <w:color w:val="2B2B2B"/>
                <w:sz w:val="18"/>
              </w:rPr>
              <w:t>INVALID_SESSION_ID or Token Expired</w:t>
            </w:r>
          </w:p>
        </w:tc>
        <w:tc>
          <w:tcPr>
            <w:tcW w:type="dxa" w:w="3312"/>
            <w:shd w:fill="FFFFFF"/>
            <w:tcMar>
              <w:top w:w="90" w:type="dxa"/>
              <w:bottom w:w="90" w:type="dxa"/>
              <w:left w:w="140" w:type="dxa"/>
              <w:right w:w="140" w:type="dxa"/>
            </w:tcMar>
          </w:tcPr>
          <w:p>
            <w:r>
              <w:rPr>
                <w:rFonts w:ascii="Calibri" w:hAnsi="Calibri"/>
                <w:color w:val="2B2B2B"/>
                <w:sz w:val="18"/>
              </w:rPr>
              <w:t>Salesforce OAuth token or Workbench session expired after 2 hours of inactivity.</w:t>
            </w:r>
          </w:p>
        </w:tc>
        <w:tc>
          <w:tcPr>
            <w:tcW w:type="dxa" w:w="3456"/>
            <w:shd w:fill="FFFFFF"/>
            <w:tcMar>
              <w:top w:w="90" w:type="dxa"/>
              <w:bottom w:w="90" w:type="dxa"/>
              <w:left w:w="140" w:type="dxa"/>
              <w:right w:w="140" w:type="dxa"/>
            </w:tcMar>
          </w:tcPr>
          <w:p>
            <w:r>
              <w:rPr>
                <w:rFonts w:ascii="Calibri" w:hAnsi="Calibri"/>
                <w:color w:val="2B2B2B"/>
                <w:sz w:val="18"/>
              </w:rPr>
              <w:t>Click 'Logout' in the top bar, return to the Login Gateway, and reconnect via OAuth or enter a fresh Workbench token.</w:t>
            </w:r>
          </w:p>
        </w:tc>
      </w:tr>
      <w:tr>
        <w:tc>
          <w:tcPr>
            <w:tcW w:type="dxa" w:w="2592"/>
            <w:shd w:fill="F8FAFC"/>
            <w:tcMar>
              <w:top w:w="90" w:type="dxa"/>
              <w:bottom w:w="90" w:type="dxa"/>
              <w:left w:w="140" w:type="dxa"/>
              <w:right w:w="140" w:type="dxa"/>
            </w:tcMar>
          </w:tcPr>
          <w:p>
            <w:r>
              <w:rPr>
                <w:rFonts w:ascii="Calibri" w:hAnsi="Calibri"/>
                <w:color w:val="2B2B2B"/>
                <w:sz w:val="18"/>
              </w:rPr>
              <w:t>Salesforce Governor Limit Alert</w:t>
            </w:r>
          </w:p>
        </w:tc>
        <w:tc>
          <w:tcPr>
            <w:tcW w:type="dxa" w:w="3312"/>
            <w:shd w:fill="F8FAFC"/>
            <w:tcMar>
              <w:top w:w="90" w:type="dxa"/>
              <w:bottom w:w="90" w:type="dxa"/>
              <w:left w:w="140" w:type="dxa"/>
              <w:right w:w="140" w:type="dxa"/>
            </w:tcMar>
          </w:tcPr>
          <w:p>
            <w:r>
              <w:rPr>
                <w:rFonts w:ascii="Calibri" w:hAnsi="Calibri"/>
                <w:color w:val="2B2B2B"/>
                <w:sz w:val="18"/>
              </w:rPr>
              <w:t>Daily Salesforce API call limit or concurrent batch limit exceeded in the target org.</w:t>
            </w:r>
          </w:p>
        </w:tc>
        <w:tc>
          <w:tcPr>
            <w:tcW w:type="dxa" w:w="3456"/>
            <w:shd w:fill="F8FAFC"/>
            <w:tcMar>
              <w:top w:w="90" w:type="dxa"/>
              <w:bottom w:w="90" w:type="dxa"/>
              <w:left w:w="140" w:type="dxa"/>
              <w:right w:w="140" w:type="dxa"/>
            </w:tcMar>
          </w:tcPr>
          <w:p>
            <w:r>
              <w:rPr>
                <w:rFonts w:ascii="Calibri" w:hAnsi="Calibri"/>
                <w:color w:val="2B2B2B"/>
                <w:sz w:val="18"/>
              </w:rPr>
              <w:t>Switch upload method from Bulk API 2.0 to REST Composite Collection (or pause until daily API quota resets at midnight GMT).</w:t>
            </w:r>
          </w:p>
        </w:tc>
      </w:tr>
      <w:tr>
        <w:tc>
          <w:tcPr>
            <w:tcW w:type="dxa" w:w="2592"/>
            <w:shd w:fill="FFFFFF"/>
            <w:tcMar>
              <w:top w:w="90" w:type="dxa"/>
              <w:bottom w:w="90" w:type="dxa"/>
              <w:left w:w="140" w:type="dxa"/>
              <w:right w:w="140" w:type="dxa"/>
            </w:tcMar>
          </w:tcPr>
          <w:p>
            <w:r>
              <w:rPr>
                <w:rFonts w:ascii="Calibri" w:hAnsi="Calibri"/>
                <w:color w:val="2B2B2B"/>
                <w:sz w:val="18"/>
              </w:rPr>
              <w:t>Date formatting mismatches</w:t>
            </w:r>
          </w:p>
        </w:tc>
        <w:tc>
          <w:tcPr>
            <w:tcW w:type="dxa" w:w="3312"/>
            <w:shd w:fill="FFFFFF"/>
            <w:tcMar>
              <w:top w:w="90" w:type="dxa"/>
              <w:bottom w:w="90" w:type="dxa"/>
              <w:left w:w="140" w:type="dxa"/>
              <w:right w:w="140" w:type="dxa"/>
            </w:tcMar>
          </w:tcPr>
          <w:p>
            <w:r>
              <w:rPr>
                <w:rFonts w:ascii="Calibri" w:hAnsi="Calibri"/>
                <w:color w:val="2B2B2B"/>
                <w:sz w:val="18"/>
              </w:rPr>
              <w:t>Contractor submitted mixed UK (DD/MM/YYYY) and US/Excel serial dates.</w:t>
            </w:r>
          </w:p>
        </w:tc>
        <w:tc>
          <w:tcPr>
            <w:tcW w:type="dxa" w:w="3456"/>
            <w:shd w:fill="FFFFFF"/>
            <w:tcMar>
              <w:top w:w="90" w:type="dxa"/>
              <w:bottom w:w="90" w:type="dxa"/>
              <w:left w:w="140" w:type="dxa"/>
              <w:right w:w="140" w:type="dxa"/>
            </w:tcMar>
          </w:tcPr>
          <w:p>
            <w:r>
              <w:rPr>
                <w:rFonts w:ascii="Calibri" w:hAnsi="Calibri"/>
                <w:color w:val="2B2B2B"/>
                <w:sz w:val="18"/>
              </w:rPr>
              <w:t>The engine normalizer handles standard UK dates automatically. For custom formats, adjust the column type in the Mapping Editor.</w:t>
            </w:r>
          </w:p>
        </w:tc>
      </w:tr>
      <w:tr>
        <w:tc>
          <w:tcPr>
            <w:tcW w:type="dxa" w:w="2592"/>
            <w:shd w:fill="F8FAFC"/>
            <w:tcMar>
              <w:top w:w="90" w:type="dxa"/>
              <w:bottom w:w="90" w:type="dxa"/>
              <w:left w:w="140" w:type="dxa"/>
              <w:right w:w="140" w:type="dxa"/>
            </w:tcMar>
          </w:tcPr>
          <w:p>
            <w:r>
              <w:rPr>
                <w:rFonts w:ascii="Calibri" w:hAnsi="Calibri"/>
                <w:color w:val="2B2B2B"/>
                <w:sz w:val="18"/>
              </w:rPr>
              <w:t>Intended Blank Wipe not reflecting</w:t>
            </w:r>
          </w:p>
        </w:tc>
        <w:tc>
          <w:tcPr>
            <w:tcW w:type="dxa" w:w="3312"/>
            <w:shd w:fill="F8FAFC"/>
            <w:tcMar>
              <w:top w:w="90" w:type="dxa"/>
              <w:bottom w:w="90" w:type="dxa"/>
              <w:left w:w="140" w:type="dxa"/>
              <w:right w:w="140" w:type="dxa"/>
            </w:tcMar>
          </w:tcPr>
          <w:p>
            <w:r>
              <w:rPr>
                <w:rFonts w:ascii="Calibri" w:hAnsi="Calibri"/>
                <w:color w:val="2B2B2B"/>
                <w:sz w:val="18"/>
              </w:rPr>
              <w:t>Contractor left the cell blank instead of entering '#N/A'.</w:t>
            </w:r>
          </w:p>
        </w:tc>
        <w:tc>
          <w:tcPr>
            <w:tcW w:type="dxa" w:w="3456"/>
            <w:shd w:fill="F8FAFC"/>
            <w:tcMar>
              <w:top w:w="90" w:type="dxa"/>
              <w:bottom w:w="90" w:type="dxa"/>
              <w:left w:w="140" w:type="dxa"/>
              <w:right w:w="140" w:type="dxa"/>
            </w:tcMar>
          </w:tcPr>
          <w:p>
            <w:r>
              <w:rPr>
                <w:rFonts w:ascii="Calibri" w:hAnsi="Calibri"/>
                <w:color w:val="2B2B2B"/>
                <w:sz w:val="18"/>
              </w:rPr>
              <w:t>By design, blank cells do NOT erase live data. Instruct contractor to enter '#N/A' to explicitly wipe a field.</w:t>
            </w:r>
          </w:p>
        </w:tc>
      </w:tr>
    </w:tbl>
    <w:p>
      <w:pPr>
        <w:spacing w:before="40" w:after="120"/>
      </w:pPr>
    </w:p>
    <w:p>
      <w:pPr>
        <w:keepNext/>
        <w:spacing w:before="360" w:after="120"/>
      </w:pPr>
      <w:r>
        <w:rPr>
          <w:rFonts w:ascii="Segoe UI" w:hAnsi="Segoe UI"/>
          <w:b/>
          <w:color w:val="0B2149"/>
          <w:sz w:val="32"/>
        </w:rPr>
        <w:t>12. Production Server &amp; DevOps Reference (For Administrators)</w:t>
      </w:r>
    </w:p>
    <w:p>
      <w:pPr>
        <w:spacing w:after="80"/>
      </w:pPr>
      <w:r>
        <w:rPr>
          <w:color w:val="2B2B2B"/>
        </w:rPr>
        <w:t>The platform runs in production on an Oracle Cloud Ubuntu Virtual Machine. This reference provides system administrators with essential management commands:</w:t>
      </w:r>
    </w:p>
    <w:tbl>
      <w:tblPr>
        <w:tblW w:type="auto" w:w="0"/>
        <w:jc w:val="center"/>
        <w:tblLayout w:type="fixed"/>
        <w:tblLook w:firstColumn="1" w:firstRow="1" w:lastColumn="0" w:lastRow="0" w:noHBand="0" w:noVBand="1" w:val="04A0"/>
        <w:tblBorders>
          <w:top w:val="single" w:sz="6" w:space="0" w:color="D8DDE6"/>
          <w:bottom w:val="single" w:sz="8" w:space="0" w:color="0B2149"/>
          <w:left w:val="none"/>
          <w:right w:val="none"/>
          <w:insideH w:val="single" w:sz="4" w:space="0" w:color="D8DDE6"/>
          <w:insideV w:val="none"/>
        </w:tblBorders>
      </w:tblPr>
      <w:tblGrid>
        <w:gridCol w:w="3120"/>
        <w:gridCol w:w="3120"/>
        <w:gridCol w:w="3120"/>
      </w:tblGrid>
      <w:tr>
        <w:tc>
          <w:tcPr>
            <w:tcW w:type="dxa" w:w="2592"/>
            <w:shd w:fill="0B2149"/>
            <w:tcMar>
              <w:top w:w="120" w:type="dxa"/>
              <w:bottom w:w="120" w:type="dxa"/>
              <w:left w:w="140" w:type="dxa"/>
              <w:right w:w="140" w:type="dxa"/>
            </w:tcMar>
          </w:tcPr>
          <w:p>
            <w:pPr>
              <w:jc w:val="left"/>
            </w:pPr>
            <w:r>
              <w:rPr>
                <w:rFonts w:ascii="Segoe UI" w:hAnsi="Segoe UI"/>
                <w:b/>
                <w:color w:val="FFFFFF"/>
                <w:sz w:val="19"/>
              </w:rPr>
              <w:t>Service / Resource</w:t>
            </w:r>
          </w:p>
        </w:tc>
        <w:tc>
          <w:tcPr>
            <w:tcW w:type="dxa" w:w="2592"/>
            <w:shd w:fill="0B2149"/>
            <w:tcMar>
              <w:top w:w="120" w:type="dxa"/>
              <w:bottom w:w="120" w:type="dxa"/>
              <w:left w:w="140" w:type="dxa"/>
              <w:right w:w="140" w:type="dxa"/>
            </w:tcMar>
          </w:tcPr>
          <w:p>
            <w:pPr>
              <w:jc w:val="left"/>
            </w:pPr>
            <w:r>
              <w:rPr>
                <w:rFonts w:ascii="Segoe UI" w:hAnsi="Segoe UI"/>
                <w:b/>
                <w:color w:val="FFFFFF"/>
                <w:sz w:val="19"/>
              </w:rPr>
              <w:t>Port / Protocol</w:t>
            </w:r>
          </w:p>
        </w:tc>
        <w:tc>
          <w:tcPr>
            <w:tcW w:type="dxa" w:w="4176"/>
            <w:shd w:fill="0B2149"/>
            <w:tcMar>
              <w:top w:w="120" w:type="dxa"/>
              <w:bottom w:w="120" w:type="dxa"/>
              <w:left w:w="140" w:type="dxa"/>
              <w:right w:w="140" w:type="dxa"/>
            </w:tcMar>
          </w:tcPr>
          <w:p>
            <w:pPr>
              <w:jc w:val="left"/>
            </w:pPr>
            <w:r>
              <w:rPr>
                <w:rFonts w:ascii="Segoe UI" w:hAnsi="Segoe UI"/>
                <w:b/>
                <w:color w:val="FFFFFF"/>
                <w:sz w:val="19"/>
              </w:rPr>
              <w:t>Management Command / Access Path</w:t>
            </w:r>
          </w:p>
        </w:tc>
      </w:tr>
      <w:tr>
        <w:tc>
          <w:tcPr>
            <w:tcW w:type="dxa" w:w="2592"/>
            <w:shd w:fill="FFFFFF"/>
            <w:tcMar>
              <w:top w:w="90" w:type="dxa"/>
              <w:bottom w:w="90" w:type="dxa"/>
              <w:left w:w="140" w:type="dxa"/>
              <w:right w:w="140" w:type="dxa"/>
            </w:tcMar>
          </w:tcPr>
          <w:p>
            <w:r>
              <w:rPr>
                <w:rFonts w:ascii="Calibri" w:hAnsi="Calibri"/>
                <w:color w:val="2B2B2B"/>
                <w:sz w:val="18"/>
              </w:rPr>
              <w:t>Nginx Reverse Proxy</w:t>
            </w:r>
          </w:p>
        </w:tc>
        <w:tc>
          <w:tcPr>
            <w:tcW w:type="dxa" w:w="2592"/>
            <w:shd w:fill="FFFFFF"/>
            <w:tcMar>
              <w:top w:w="90" w:type="dxa"/>
              <w:bottom w:w="90" w:type="dxa"/>
              <w:left w:w="140" w:type="dxa"/>
              <w:right w:w="140" w:type="dxa"/>
            </w:tcMar>
          </w:tcPr>
          <w:p>
            <w:r>
              <w:rPr>
                <w:rFonts w:ascii="Calibri" w:hAnsi="Calibri"/>
                <w:color w:val="2B2B2B"/>
                <w:sz w:val="18"/>
              </w:rPr>
              <w:t>Port 443 (HTTPS) &amp; Port 80 (Redirect)</w:t>
            </w:r>
          </w:p>
        </w:tc>
        <w:tc>
          <w:tcPr>
            <w:tcW w:type="dxa" w:w="4176"/>
            <w:shd w:fill="FFFFFF"/>
            <w:tcMar>
              <w:top w:w="90" w:type="dxa"/>
              <w:bottom w:w="90" w:type="dxa"/>
              <w:left w:w="140" w:type="dxa"/>
              <w:right w:w="140" w:type="dxa"/>
            </w:tcMar>
          </w:tcPr>
          <w:p>
            <w:r>
              <w:rPr>
                <w:rFonts w:ascii="Calibri" w:hAnsi="Calibri"/>
                <w:color w:val="2B2B2B"/>
                <w:sz w:val="18"/>
              </w:rPr>
              <w:t>sudo systemctl [status|restart|stop] nginx</w:t>
            </w:r>
          </w:p>
        </w:tc>
      </w:tr>
      <w:tr>
        <w:tc>
          <w:tcPr>
            <w:tcW w:type="dxa" w:w="2592"/>
            <w:shd w:fill="F8FAFC"/>
            <w:tcMar>
              <w:top w:w="90" w:type="dxa"/>
              <w:bottom w:w="90" w:type="dxa"/>
              <w:left w:w="140" w:type="dxa"/>
              <w:right w:w="140" w:type="dxa"/>
            </w:tcMar>
          </w:tcPr>
          <w:p>
            <w:r>
              <w:rPr>
                <w:rFonts w:ascii="Calibri" w:hAnsi="Calibri"/>
                <w:color w:val="2B2B2B"/>
                <w:sz w:val="18"/>
              </w:rPr>
              <w:t>Streamlit Backend</w:t>
            </w:r>
          </w:p>
        </w:tc>
        <w:tc>
          <w:tcPr>
            <w:tcW w:type="dxa" w:w="2592"/>
            <w:shd w:fill="F8FAFC"/>
            <w:tcMar>
              <w:top w:w="90" w:type="dxa"/>
              <w:bottom w:w="90" w:type="dxa"/>
              <w:left w:w="140" w:type="dxa"/>
              <w:right w:w="140" w:type="dxa"/>
            </w:tcMar>
          </w:tcPr>
          <w:p>
            <w:r>
              <w:rPr>
                <w:rFonts w:ascii="Calibri" w:hAnsi="Calibri"/>
                <w:color w:val="2B2B2B"/>
                <w:sz w:val="18"/>
              </w:rPr>
              <w:t>Port 8501 (Loopback 127.0.0.1)</w:t>
            </w:r>
          </w:p>
        </w:tc>
        <w:tc>
          <w:tcPr>
            <w:tcW w:type="dxa" w:w="4176"/>
            <w:shd w:fill="F8FAFC"/>
            <w:tcMar>
              <w:top w:w="90" w:type="dxa"/>
              <w:bottom w:w="90" w:type="dxa"/>
              <w:left w:w="140" w:type="dxa"/>
              <w:right w:w="140" w:type="dxa"/>
            </w:tcMar>
          </w:tcPr>
          <w:p>
            <w:r>
              <w:rPr>
                <w:rFonts w:ascii="Calibri" w:hAnsi="Calibri"/>
                <w:color w:val="2B2B2B"/>
                <w:sz w:val="18"/>
              </w:rPr>
              <w:t>sudo systemctl [status|restart|stop] streamlit.service</w:t>
            </w:r>
          </w:p>
        </w:tc>
      </w:tr>
      <w:tr>
        <w:tc>
          <w:tcPr>
            <w:tcW w:type="dxa" w:w="2592"/>
            <w:shd w:fill="FFFFFF"/>
            <w:tcMar>
              <w:top w:w="90" w:type="dxa"/>
              <w:bottom w:w="90" w:type="dxa"/>
              <w:left w:w="140" w:type="dxa"/>
              <w:right w:w="140" w:type="dxa"/>
            </w:tcMar>
          </w:tcPr>
          <w:p>
            <w:r>
              <w:rPr>
                <w:rFonts w:ascii="Calibri" w:hAnsi="Calibri"/>
                <w:color w:val="2B2B2B"/>
                <w:sz w:val="18"/>
              </w:rPr>
              <w:t>code-server Web IDE</w:t>
            </w:r>
          </w:p>
        </w:tc>
        <w:tc>
          <w:tcPr>
            <w:tcW w:type="dxa" w:w="2592"/>
            <w:shd w:fill="FFFFFF"/>
            <w:tcMar>
              <w:top w:w="90" w:type="dxa"/>
              <w:bottom w:w="90" w:type="dxa"/>
              <w:left w:w="140" w:type="dxa"/>
              <w:right w:w="140" w:type="dxa"/>
            </w:tcMar>
          </w:tcPr>
          <w:p>
            <w:r>
              <w:rPr>
                <w:rFonts w:ascii="Calibri" w:hAnsi="Calibri"/>
                <w:color w:val="2B2B2B"/>
                <w:sz w:val="18"/>
              </w:rPr>
              <w:t>Port 8080 (Password: Sitetracker2026!)</w:t>
            </w:r>
          </w:p>
        </w:tc>
        <w:tc>
          <w:tcPr>
            <w:tcW w:type="dxa" w:w="4176"/>
            <w:shd w:fill="FFFFFF"/>
            <w:tcMar>
              <w:top w:w="90" w:type="dxa"/>
              <w:bottom w:w="90" w:type="dxa"/>
              <w:left w:w="140" w:type="dxa"/>
              <w:right w:w="140" w:type="dxa"/>
            </w:tcMar>
          </w:tcPr>
          <w:p>
            <w:r>
              <w:rPr>
                <w:rFonts w:ascii="Calibri" w:hAnsi="Calibri"/>
                <w:color w:val="2B2B2B"/>
                <w:sz w:val="18"/>
              </w:rPr>
              <w:t>sudo systemctl [status|restart|stop] code-server@ubuntu.service</w:t>
            </w:r>
          </w:p>
        </w:tc>
      </w:tr>
      <w:tr>
        <w:tc>
          <w:tcPr>
            <w:tcW w:type="dxa" w:w="2592"/>
            <w:shd w:fill="F8FAFC"/>
            <w:tcMar>
              <w:top w:w="90" w:type="dxa"/>
              <w:bottom w:w="90" w:type="dxa"/>
              <w:left w:w="140" w:type="dxa"/>
              <w:right w:w="140" w:type="dxa"/>
            </w:tcMar>
          </w:tcPr>
          <w:p>
            <w:r>
              <w:rPr>
                <w:rFonts w:ascii="Calibri" w:hAnsi="Calibri"/>
                <w:color w:val="2B2B2B"/>
                <w:sz w:val="18"/>
              </w:rPr>
              <w:t>SSH Remote Access</w:t>
            </w:r>
          </w:p>
        </w:tc>
        <w:tc>
          <w:tcPr>
            <w:tcW w:type="dxa" w:w="2592"/>
            <w:shd w:fill="F8FAFC"/>
            <w:tcMar>
              <w:top w:w="90" w:type="dxa"/>
              <w:bottom w:w="90" w:type="dxa"/>
              <w:left w:w="140" w:type="dxa"/>
              <w:right w:w="140" w:type="dxa"/>
            </w:tcMar>
          </w:tcPr>
          <w:p>
            <w:r>
              <w:rPr>
                <w:rFonts w:ascii="Calibri" w:hAnsi="Calibri"/>
                <w:color w:val="2B2B2B"/>
                <w:sz w:val="18"/>
              </w:rPr>
              <w:t>Port 22 (SSH Key)</w:t>
            </w:r>
          </w:p>
        </w:tc>
        <w:tc>
          <w:tcPr>
            <w:tcW w:type="dxa" w:w="4176"/>
            <w:shd w:fill="F8FAFC"/>
            <w:tcMar>
              <w:top w:w="90" w:type="dxa"/>
              <w:bottom w:w="90" w:type="dxa"/>
              <w:left w:w="140" w:type="dxa"/>
              <w:right w:w="140" w:type="dxa"/>
            </w:tcMar>
          </w:tcPr>
          <w:p>
            <w:r>
              <w:rPr>
                <w:rFonts w:ascii="Calibri" w:hAnsi="Calibri"/>
                <w:color w:val="2B2B2B"/>
                <w:sz w:val="18"/>
              </w:rPr>
              <w:t>ssh -i /path/to/key.key ubuntu@161.118.182.20</w:t>
            </w:r>
          </w:p>
        </w:tc>
      </w:tr>
      <w:tr>
        <w:tc>
          <w:tcPr>
            <w:tcW w:type="dxa" w:w="2592"/>
            <w:shd w:fill="FFFFFF"/>
            <w:tcMar>
              <w:top w:w="90" w:type="dxa"/>
              <w:bottom w:w="90" w:type="dxa"/>
              <w:left w:w="140" w:type="dxa"/>
              <w:right w:w="140" w:type="dxa"/>
            </w:tcMar>
          </w:tcPr>
          <w:p>
            <w:r>
              <w:rPr>
                <w:rFonts w:ascii="Calibri" w:hAnsi="Calibri"/>
                <w:color w:val="2B2B2B"/>
                <w:sz w:val="18"/>
              </w:rPr>
              <w:t>Automated Git Deploy</w:t>
            </w:r>
          </w:p>
        </w:tc>
        <w:tc>
          <w:tcPr>
            <w:tcW w:type="dxa" w:w="2592"/>
            <w:shd w:fill="FFFFFF"/>
            <w:tcMar>
              <w:top w:w="90" w:type="dxa"/>
              <w:bottom w:w="90" w:type="dxa"/>
              <w:left w:w="140" w:type="dxa"/>
              <w:right w:w="140" w:type="dxa"/>
            </w:tcMar>
          </w:tcPr>
          <w:p>
            <w:r>
              <w:rPr>
                <w:rFonts w:ascii="Calibri" w:hAnsi="Calibri"/>
                <w:color w:val="2B2B2B"/>
                <w:sz w:val="18"/>
              </w:rPr>
              <w:t>Cron task (/home/ubuntu/poc_input_generator)</w:t>
            </w:r>
          </w:p>
        </w:tc>
        <w:tc>
          <w:tcPr>
            <w:tcW w:type="dxa" w:w="4176"/>
            <w:shd w:fill="FFFFFF"/>
            <w:tcMar>
              <w:top w:w="90" w:type="dxa"/>
              <w:bottom w:w="90" w:type="dxa"/>
              <w:left w:w="140" w:type="dxa"/>
              <w:right w:w="140" w:type="dxa"/>
            </w:tcMar>
          </w:tcPr>
          <w:p>
            <w:r>
              <w:rPr>
                <w:rFonts w:ascii="Calibri" w:hAnsi="Calibri"/>
                <w:color w:val="2B2B2B"/>
                <w:sz w:val="18"/>
              </w:rPr>
              <w:t>scripts/auto_deploy.sh</w:t>
            </w:r>
          </w:p>
        </w:tc>
      </w:tr>
    </w:tbl>
    <w:p>
      <w:pPr>
        <w:spacing w:before="40" w:after="120"/>
      </w:pPr>
    </w:p>
    <w:p>
      <w:pPr>
        <w:keepNext/>
        <w:spacing w:before="280" w:after="80"/>
      </w:pPr>
      <w:r>
        <w:rPr>
          <w:rFonts w:ascii="Segoe UI" w:hAnsi="Segoe UI"/>
          <w:b/>
          <w:color w:val="0176D3"/>
          <w:sz w:val="25"/>
        </w:rPr>
        <w:t>12.1 Deploying Code Changes to Live Production</w:t>
      </w:r>
    </w:p>
    <w:p>
      <w:pPr>
        <w:spacing w:after="80"/>
      </w:pPr>
      <w:r>
        <w:rPr>
          <w:color w:val="2B2B2B"/>
        </w:rPr>
        <w:t>To deploy tested updates from GitHub to the live Oracle Cloud server, execute the following sequence:</w:t>
        <w:br/>
        <w:t>1. SSH into the server: ssh -i &lt;key.key&gt; ubuntu@161.118.182.20</w:t>
        <w:br/>
        <w:t>2. Navigate to project: cd /home/ubuntu/poc_input_generator</w:t>
        <w:br/>
        <w:t>3. Pull repository changes: git pull origin main</w:t>
        <w:br/>
        <w:t>4. Sync Python dependencies: uv pip install -r requirements.txt</w:t>
        <w:br/>
        <w:t>5. Run integration tests: uv run python quick_test.py</w:t>
        <w:br/>
        <w:t>6. Restart web service: sudo systemctl restart streamlit.service</w:t>
      </w:r>
    </w:p>
    <w:tbl>
      <w:tblPr>
        <w:tblW w:type="auto" w:w="0"/>
        <w:jc w:val="center"/>
        <w:tblLayout w:type="fixed"/>
        <w:tblLook w:firstColumn="1" w:firstRow="1" w:lastColumn="0" w:lastRow="0" w:noHBand="0" w:noVBand="1" w:val="04A0"/>
      </w:tblPr>
      <w:tblGrid>
        <w:gridCol w:w="9360"/>
      </w:tblGrid>
      <w:tr>
        <w:tc>
          <w:tcPr>
            <w:tcW w:type="dxa" w:w="9360"/>
            <w:shd w:fill="FFF8F0"/>
            <w:tcBorders>
              <w:top w:val="none"/>
              <w:left w:val="single" w:sz="24" w:space="0" w:color="D96B27"/>
              <w:bottom w:val="none"/>
              <w:right w:val="none"/>
            </w:tcBorders>
            <w:tcMar>
              <w:top w:w="140" w:type="dxa"/>
              <w:bottom w:w="140" w:type="dxa"/>
              <w:left w:w="200" w:type="dxa"/>
              <w:right w:w="160" w:type="dxa"/>
            </w:tcMar>
          </w:tcPr>
          <w:p>
            <w:pPr>
              <w:spacing w:after="60"/>
            </w:pPr>
            <w:r>
              <w:rPr>
                <w:rFonts w:ascii="Segoe UI" w:hAnsi="Segoe UI"/>
                <w:b/>
                <w:color w:val="0B2149"/>
                <w:sz w:val="20"/>
              </w:rPr>
              <w:t>⚠️ IMPORTANT: Package Management Standard</w:t>
              <w:br/>
            </w:r>
            <w:r>
              <w:rPr>
                <w:color w:val="2B2B2B"/>
                <w:sz w:val="19"/>
              </w:rPr>
              <w:t>Never invoke direct 'pip' on the server. Always use Astral's 'uv' (e.g. uv pip install, uv run pytest).</w:t>
            </w:r>
          </w:p>
        </w:tc>
      </w:tr>
    </w:tbl>
    <w:p>
      <w:pPr>
        <w:spacing w:before="40"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C6F84"/>
        <w:sz w:val="17"/>
      </w:rPr>
      <w:t>CONFIDENTIAL • Sitetracker Data Operations Platform</w:t>
      <w:tab/>
      <w:tab/>
    </w:r>
    <w:r>
      <w:rPr>
        <w:rFonts w:ascii="Calibri" w:hAnsi="Calibri"/>
        <w:color w:val="5C6F84"/>
        <w:sz w:val="17"/>
      </w:rPr>
      <w:t>Production Release v2.4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F84"/>
        <w:sz w:val="17"/>
      </w:rPr>
      <w:t>Sitetracker Data Hub — Enterprise User Guide &amp;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