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0A070" w14:textId="7543FBE9" w:rsidR="00112D1A" w:rsidRDefault="00E826F3">
      <w:pPr>
        <w:rPr>
          <w:rStyle w:val="markedcontent"/>
          <w:rFonts w:ascii="Arial" w:hAnsi="Arial" w:cs="Arial"/>
          <w:sz w:val="17"/>
          <w:szCs w:val="17"/>
          <w:shd w:val="clear" w:color="auto" w:fill="FFFFFF"/>
        </w:rPr>
      </w:pPr>
      <w:r w:rsidRPr="009458BB">
        <w:rPr>
          <w:rStyle w:val="markedcontent"/>
          <w:rFonts w:ascii="Arial" w:hAnsi="Arial" w:cs="Arial"/>
          <w:sz w:val="20"/>
          <w:szCs w:val="20"/>
          <w:shd w:val="clear" w:color="auto" w:fill="FFFFFF"/>
        </w:rPr>
        <w:t>Sample text</w:t>
      </w:r>
      <w:r>
        <w:rPr>
          <w:rFonts w:ascii="Open Sans" w:hAnsi="Open Sans" w:cs="Open Sans"/>
          <w:sz w:val="21"/>
          <w:szCs w:val="21"/>
          <w:shd w:val="clear" w:color="auto" w:fill="FFFFFF"/>
        </w:rPr>
        <w:br/>
      </w:r>
      <w:r w:rsidRPr="00AB5649">
        <w:rPr>
          <w:rStyle w:val="markedcontent"/>
          <w:rFonts w:ascii="Arial" w:hAnsi="Arial" w:cs="Arial"/>
          <w:sz w:val="20"/>
          <w:szCs w:val="20"/>
          <w:shd w:val="clear" w:color="auto" w:fill="FFFFFF"/>
        </w:rPr>
        <w:t>This is an introductory sentence and doesn’t have a reference. The second sentence refers to a graph</w:t>
      </w:r>
      <w:r w:rsidRPr="00AB5649">
        <w:rPr>
          <w:rFonts w:ascii="Open Sans" w:hAnsi="Open Sans" w:cs="Open Sans"/>
          <w:sz w:val="24"/>
          <w:shd w:val="clear" w:color="auto" w:fill="FFFFFF"/>
        </w:rPr>
        <w:br/>
      </w:r>
      <w:r w:rsidRPr="00AB5649">
        <w:rPr>
          <w:rStyle w:val="markedcontent"/>
          <w:rFonts w:ascii="Arial" w:hAnsi="Arial" w:cs="Arial"/>
          <w:sz w:val="20"/>
          <w:szCs w:val="20"/>
          <w:shd w:val="clear" w:color="auto" w:fill="FFFFFF"/>
        </w:rPr>
        <w:t>theory paper</w:t>
      </w:r>
      <w:r w:rsidR="00EA4E12" w:rsidRPr="00AB5649">
        <w:rPr>
          <w:rStyle w:val="markedcontent"/>
          <w:rFonts w:ascii="Arial" w:hAnsi="Arial" w:cs="Arial" w:hint="eastAsia"/>
          <w:sz w:val="20"/>
          <w:szCs w:val="20"/>
          <w:shd w:val="clear" w:color="auto" w:fill="FFFFFF"/>
        </w:rPr>
        <w:t xml:space="preserve"> </w:t>
      </w:r>
      <w:r w:rsidR="00EA4E12" w:rsidRPr="00AB5649">
        <w:rPr>
          <w:rStyle w:val="markedcontent"/>
          <w:rFonts w:ascii="Arial" w:hAnsi="Arial" w:cs="Arial"/>
          <w:sz w:val="20"/>
          <w:szCs w:val="20"/>
          <w:shd w:val="clear" w:color="auto" w:fill="FFFFFF"/>
        </w:rPr>
        <w:fldChar w:fldCharType="begin"/>
      </w:r>
      <w:r w:rsidR="002E34D9">
        <w:rPr>
          <w:rStyle w:val="markedcontent"/>
          <w:rFonts w:ascii="Arial" w:hAnsi="Arial" w:cs="Arial"/>
          <w:sz w:val="20"/>
          <w:szCs w:val="20"/>
          <w:shd w:val="clear" w:color="auto" w:fill="FFFFFF"/>
        </w:rPr>
        <w:instrText xml:space="preserve"> ADDIN ZOTERO_ITEM CSL_CITATION {"citationID":"1EBV3cbk","properties":{"formattedCitation":"[1]","plainCitation":"[1]","noteIndex":0},"citationItems":[{"id":21,"uris":["http://zotero.org/users/local/6IOoLTf8/items/PISMJL22"],"itemData":{"id":21,"type":"article-journal","abstract":"We present the first real-time high-fidelity facial capture method. The core idea is to enhance a global real-time face tracker, which provides a low-resolution face mesh, with local regressors that add in medium-scale details, such as expression wrinkles. Our main observation is that although wrinkles appear in different scales and at different locations on the face, they are locally very self-similar and their visual appearance is a direct consequence of their local shape. We therefore train local regressors from high-resolution capture data in order to predict the local geometry from local appearance at runtime. We propose an automatic way to detect and align the local patches required to train the regressors and run them efficiently in real-time. Our formulation is particularly designed to enhance the low-resolution global tracker with exactly the missing expression frequencies, avoiding superimposing spatial frequencies in the result. Our system is generic and can be applied to any real-time tracker that uses a global prior, e.g. blend-shapes. Once trained, our online capture approach can be applied to any new user without additional training, resulting in high-fidelity facial performance reconstruction with person-specific wrinkle details from a monocular video camera in real-time.","container-title":"ACM Trans. Graph.","DOI":"10.1145/2766943","ISSN":"0730-0301","issue":"4","page":"1–9","source":"ACM Digital Library","title":"Real-time high-fidelity facial performance capture","volume":"34","author":[{"family":"Cao","given":"Chen"},{"family":"Bradley","given":"Derek"},{"family":"Zhou","given":"Kun"},{"family":"Beeler","given":"Thabo"}],"issued":{"date-parts":[["2015",7,27]]}}}],"schema":"https://github.com/citation-style-language/schema/raw/master/csl-citation.json"} </w:instrText>
      </w:r>
      <w:r w:rsidR="00EA4E12" w:rsidRPr="00AB5649">
        <w:rPr>
          <w:rStyle w:val="markedcontent"/>
          <w:rFonts w:ascii="Arial" w:hAnsi="Arial" w:cs="Arial"/>
          <w:sz w:val="20"/>
          <w:szCs w:val="20"/>
          <w:shd w:val="clear" w:color="auto" w:fill="FFFFFF"/>
        </w:rPr>
        <w:fldChar w:fldCharType="separate"/>
      </w:r>
      <w:r w:rsidR="002E34D9">
        <w:rPr>
          <w:rStyle w:val="markedcontent"/>
          <w:rFonts w:ascii="Arial" w:hAnsi="Arial" w:cs="Arial"/>
          <w:noProof/>
          <w:sz w:val="20"/>
          <w:szCs w:val="20"/>
          <w:shd w:val="clear" w:color="auto" w:fill="FFFFFF"/>
        </w:rPr>
        <w:t>[1]</w:t>
      </w:r>
      <w:r w:rsidR="00EA4E12" w:rsidRPr="00AB5649">
        <w:rPr>
          <w:rStyle w:val="markedcontent"/>
          <w:rFonts w:ascii="Arial" w:hAnsi="Arial" w:cs="Arial"/>
          <w:sz w:val="20"/>
          <w:szCs w:val="20"/>
          <w:shd w:val="clear" w:color="auto" w:fill="FFFFFF"/>
        </w:rPr>
        <w:fldChar w:fldCharType="end"/>
      </w:r>
      <w:r w:rsidRPr="00AB5649">
        <w:rPr>
          <w:rStyle w:val="markedcontent"/>
          <w:rFonts w:ascii="Arial" w:hAnsi="Arial" w:cs="Arial"/>
          <w:sz w:val="20"/>
          <w:szCs w:val="20"/>
          <w:shd w:val="clear" w:color="auto" w:fill="FFFFFF"/>
        </w:rPr>
        <w:t xml:space="preserve">. The third sentence references a thesis </w:t>
      </w:r>
      <w:r w:rsidRPr="00AB5649">
        <w:rPr>
          <w:rStyle w:val="markedcontent"/>
          <w:rFonts w:ascii="Arial" w:hAnsi="Arial" w:cs="Arial"/>
          <w:sz w:val="20"/>
          <w:szCs w:val="20"/>
          <w:shd w:val="clear" w:color="auto" w:fill="FFFFFF"/>
        </w:rPr>
        <w:fldChar w:fldCharType="begin"/>
      </w:r>
      <w:r w:rsidR="002E34D9">
        <w:rPr>
          <w:rStyle w:val="markedcontent"/>
          <w:rFonts w:ascii="Arial" w:hAnsi="Arial" w:cs="Arial"/>
          <w:sz w:val="20"/>
          <w:szCs w:val="20"/>
          <w:shd w:val="clear" w:color="auto" w:fill="FFFFFF"/>
        </w:rPr>
        <w:instrText xml:space="preserve"> ADDIN ZOTERO_ITEM CSL_CITATION {"citationID":"ixV6y7Ux","properties":{"formattedCitation":"[2]","plainCitation":"[2]","noteIndex":0},"citationItems":[{"id":23,"uris":["http://zotero.org/users/local/6IOoLTf8/items/46PZVLMI"],"itemData":{"id":23,"type":"thesis","genre":"Doctoral dissertation, University of Massachusetts Amherst","note":"AAI7706432","number-of-pages":"107","publisher":"ACM Digital Library","title":"Aftereffects, adaptation, and plasticity: a neural model for tunable feature space.","title-short":"Aftereffects, adaptation, and plasticity","author":[{"family":"Montalvo","given":"Fanya S."}],"issued":{"date-parts":[["1976"]]}}}],"schema":"https://github.com/citation-style-language/schema/raw/master/csl-citation.json"} </w:instrText>
      </w:r>
      <w:r w:rsidRPr="00AB5649">
        <w:rPr>
          <w:rStyle w:val="markedcontent"/>
          <w:rFonts w:ascii="Arial" w:hAnsi="Arial" w:cs="Arial"/>
          <w:sz w:val="20"/>
          <w:szCs w:val="20"/>
          <w:shd w:val="clear" w:color="auto" w:fill="FFFFFF"/>
        </w:rPr>
        <w:fldChar w:fldCharType="separate"/>
      </w:r>
      <w:r w:rsidR="002E34D9">
        <w:rPr>
          <w:rStyle w:val="markedcontent"/>
          <w:rFonts w:ascii="Arial" w:hAnsi="Arial" w:cs="Arial"/>
          <w:noProof/>
          <w:sz w:val="20"/>
          <w:szCs w:val="20"/>
          <w:shd w:val="clear" w:color="auto" w:fill="FFFFFF"/>
        </w:rPr>
        <w:t>[2]</w:t>
      </w:r>
      <w:r w:rsidRPr="00AB5649">
        <w:rPr>
          <w:rStyle w:val="markedcontent"/>
          <w:rFonts w:ascii="Arial" w:hAnsi="Arial" w:cs="Arial"/>
          <w:sz w:val="20"/>
          <w:szCs w:val="20"/>
          <w:shd w:val="clear" w:color="auto" w:fill="FFFFFF"/>
        </w:rPr>
        <w:fldChar w:fldCharType="end"/>
      </w:r>
      <w:r w:rsidRPr="00AB5649">
        <w:rPr>
          <w:rStyle w:val="markedcontent"/>
          <w:rFonts w:ascii="Arial" w:hAnsi="Arial" w:cs="Arial"/>
          <w:sz w:val="20"/>
          <w:szCs w:val="20"/>
          <w:shd w:val="clear" w:color="auto" w:fill="FFFFFF"/>
        </w:rPr>
        <w:t>. The fourth sentence then references a</w:t>
      </w:r>
      <w:r w:rsidRPr="00AB5649">
        <w:rPr>
          <w:rFonts w:ascii="Open Sans" w:hAnsi="Open Sans" w:cs="Open Sans"/>
          <w:sz w:val="24"/>
          <w:shd w:val="clear" w:color="auto" w:fill="FFFFFF"/>
        </w:rPr>
        <w:t xml:space="preserve"> </w:t>
      </w:r>
      <w:r w:rsidRPr="00AB5649">
        <w:rPr>
          <w:rStyle w:val="markedcontent"/>
          <w:rFonts w:ascii="Arial" w:hAnsi="Arial" w:cs="Arial"/>
          <w:sz w:val="20"/>
          <w:szCs w:val="20"/>
          <w:shd w:val="clear" w:color="auto" w:fill="FFFFFF"/>
        </w:rPr>
        <w:t xml:space="preserve">deep learning paper </w:t>
      </w:r>
      <w:r w:rsidR="00EA4E12" w:rsidRPr="00AB5649">
        <w:rPr>
          <w:rStyle w:val="markedcontent"/>
          <w:rFonts w:ascii="Arial" w:hAnsi="Arial" w:cs="Arial"/>
          <w:sz w:val="20"/>
          <w:szCs w:val="20"/>
          <w:shd w:val="clear" w:color="auto" w:fill="FFFFFF"/>
        </w:rPr>
        <w:fldChar w:fldCharType="begin"/>
      </w:r>
      <w:r w:rsidR="002E34D9">
        <w:rPr>
          <w:rStyle w:val="markedcontent"/>
          <w:rFonts w:ascii="Arial" w:hAnsi="Arial" w:cs="Arial"/>
          <w:sz w:val="20"/>
          <w:szCs w:val="20"/>
          <w:shd w:val="clear" w:color="auto" w:fill="FFFFFF"/>
        </w:rPr>
        <w:instrText xml:space="preserve"> ADDIN ZOTERO_ITEM CSL_CITATION {"citationID":"Vht6M6hS","properties":{"formattedCitation":"[3]","plainCitation":"[3]","noteIndex":0},"citationItems":[{"id":24,"uris":["http://zotero.org/users/local/6IOoLTf8/items/5EEA7JCI"],"itemData":{"id":24,"type":"article-journal","abstract":"Deep learning (DL) is playing an increasingly important role in our lives. It has already made a huge impact in areas, such as cancer diagnosis, precision medicine, self-driving cars, predictive forecasting, and speech recognition. The painstakingly handcrafted feature extractors used in traditional learning, classification, and pattern recognition systems are not scalable for large-sized data sets. In many cases, depending on the problem complexity, DL can also overcome the limitations of earlier shallow networks that prevented efficient training and abstractions of hierarchical representations of multi-dimensional training data. Deep neural network (DNN) uses multiple (deep) layers of units with highly optimized algorithms and architectures. This paper reviews several optimization methods to improve the accuracy of the training and to reduce training time. We delve into the math behind training algorithms used in recent deep networks. We describe current shortcomings, enhancements, and implementations. The review also covers different types of deep architectures, such as deep convolution networks, deep residual networks, recurrent neural networks, reinforcement learning, variational autoencoders, and others.","container-title":"IEEE Access","DOI":"10.1109/ACCESS.2019.2912200","ISSN":"2169-3536","page":"53040-53065","source":"IEEE Xplore","title":"Review of Deep Learning Algorithms and Architectures","volume":"7","author":[{"family":"Shrestha","given":"Ajay"},{"family":"Mahmood","given":"Ausif"}],"issued":{"date-parts":[["2019"]]}}}],"schema":"https://github.com/citation-style-language/schema/raw/master/csl-citation.json"} </w:instrText>
      </w:r>
      <w:r w:rsidR="00EA4E12" w:rsidRPr="00AB5649">
        <w:rPr>
          <w:rStyle w:val="markedcontent"/>
          <w:rFonts w:ascii="Arial" w:hAnsi="Arial" w:cs="Arial"/>
          <w:sz w:val="20"/>
          <w:szCs w:val="20"/>
          <w:shd w:val="clear" w:color="auto" w:fill="FFFFFF"/>
        </w:rPr>
        <w:fldChar w:fldCharType="separate"/>
      </w:r>
      <w:r w:rsidR="002E34D9">
        <w:rPr>
          <w:rStyle w:val="markedcontent"/>
          <w:rFonts w:ascii="Arial" w:hAnsi="Arial" w:cs="Arial"/>
          <w:noProof/>
          <w:sz w:val="20"/>
          <w:szCs w:val="20"/>
          <w:shd w:val="clear" w:color="auto" w:fill="FFFFFF"/>
        </w:rPr>
        <w:t>[3]</w:t>
      </w:r>
      <w:r w:rsidR="00EA4E12" w:rsidRPr="00AB5649">
        <w:rPr>
          <w:rStyle w:val="markedcontent"/>
          <w:rFonts w:ascii="Arial" w:hAnsi="Arial" w:cs="Arial"/>
          <w:sz w:val="20"/>
          <w:szCs w:val="20"/>
          <w:shd w:val="clear" w:color="auto" w:fill="FFFFFF"/>
        </w:rPr>
        <w:fldChar w:fldCharType="end"/>
      </w:r>
      <w:r w:rsidRPr="00AB5649">
        <w:rPr>
          <w:rStyle w:val="markedcontent"/>
          <w:rFonts w:ascii="Arial" w:hAnsi="Arial" w:cs="Arial"/>
          <w:sz w:val="20"/>
          <w:szCs w:val="20"/>
          <w:shd w:val="clear" w:color="auto" w:fill="FFFFFF"/>
        </w:rPr>
        <w:t xml:space="preserve">. The fifth sentence is about games in AI </w:t>
      </w:r>
      <w:r w:rsidR="00EA4E12" w:rsidRPr="00AB5649">
        <w:rPr>
          <w:rStyle w:val="markedcontent"/>
          <w:rFonts w:ascii="Arial" w:hAnsi="Arial" w:cs="Arial"/>
          <w:sz w:val="20"/>
          <w:szCs w:val="20"/>
          <w:shd w:val="clear" w:color="auto" w:fill="FFFFFF"/>
        </w:rPr>
        <w:fldChar w:fldCharType="begin"/>
      </w:r>
      <w:r w:rsidR="002E34D9">
        <w:rPr>
          <w:rStyle w:val="markedcontent"/>
          <w:rFonts w:ascii="Arial" w:hAnsi="Arial" w:cs="Arial"/>
          <w:sz w:val="20"/>
          <w:szCs w:val="20"/>
          <w:shd w:val="clear" w:color="auto" w:fill="FFFFFF"/>
        </w:rPr>
        <w:instrText xml:space="preserve"> ADDIN ZOTERO_ITEM CSL_CITATION {"citationID":"IGDUSehD","properties":{"formattedCitation":"[4]","plainCitation":"[4]","noteIndex":0},"citationItems":[{"id":29,"uris":["http://zotero.org/users/local/6IOoLTf8/items/WMV4TMUP"],"itemData":{"id":29,"type":"chapter","page":"19-30","publisher":"Institute for Knowledge and Agent Technology (IKAT), Universiteit of Maastricht","source":"Google Scholar","title":"Search Ideas in Chinook: Games in AI Research","title-short":"Search Ideas in Chinook","author":[{"family":"Schaeffer","given":"Jonathan"}],"editor":[{"family":"Herik","given":"Jaap","dropping-particle":"van den"},{"family":"Hiroyu","given":"Iida"}],"issued":{"date-parts":[["2000"]]}}}],"schema":"https://github.com/citation-style-language/schema/raw/master/csl-citation.json"} </w:instrText>
      </w:r>
      <w:r w:rsidR="00EA4E12" w:rsidRPr="00AB5649">
        <w:rPr>
          <w:rStyle w:val="markedcontent"/>
          <w:rFonts w:ascii="Arial" w:hAnsi="Arial" w:cs="Arial"/>
          <w:sz w:val="20"/>
          <w:szCs w:val="20"/>
          <w:shd w:val="clear" w:color="auto" w:fill="FFFFFF"/>
        </w:rPr>
        <w:fldChar w:fldCharType="separate"/>
      </w:r>
      <w:r w:rsidR="002E34D9">
        <w:rPr>
          <w:rStyle w:val="markedcontent"/>
          <w:rFonts w:ascii="Arial" w:hAnsi="Arial" w:cs="Arial"/>
          <w:noProof/>
          <w:sz w:val="20"/>
          <w:szCs w:val="20"/>
          <w:shd w:val="clear" w:color="auto" w:fill="FFFFFF"/>
        </w:rPr>
        <w:t>[4]</w:t>
      </w:r>
      <w:r w:rsidR="00EA4E12" w:rsidRPr="00AB5649">
        <w:rPr>
          <w:rStyle w:val="markedcontent"/>
          <w:rFonts w:ascii="Arial" w:hAnsi="Arial" w:cs="Arial"/>
          <w:sz w:val="20"/>
          <w:szCs w:val="20"/>
          <w:shd w:val="clear" w:color="auto" w:fill="FFFFFF"/>
        </w:rPr>
        <w:fldChar w:fldCharType="end"/>
      </w:r>
      <w:r w:rsidRPr="00AB5649">
        <w:rPr>
          <w:rStyle w:val="markedcontent"/>
          <w:rFonts w:ascii="Arial" w:hAnsi="Arial" w:cs="Arial"/>
          <w:sz w:val="20"/>
          <w:szCs w:val="20"/>
          <w:shd w:val="clear" w:color="auto" w:fill="FFFFFF"/>
        </w:rPr>
        <w:t>. The next article doesn’t have much</w:t>
      </w:r>
      <w:r w:rsidR="00EA4E12" w:rsidRPr="00AB5649">
        <w:rPr>
          <w:rFonts w:ascii="Open Sans" w:hAnsi="Open Sans" w:cs="Open Sans" w:hint="eastAsia"/>
          <w:sz w:val="24"/>
          <w:shd w:val="clear" w:color="auto" w:fill="FFFFFF"/>
        </w:rPr>
        <w:t xml:space="preserve"> </w:t>
      </w:r>
      <w:r w:rsidRPr="00AB5649">
        <w:rPr>
          <w:rStyle w:val="markedcontent"/>
          <w:rFonts w:ascii="Arial" w:hAnsi="Arial" w:cs="Arial"/>
          <w:sz w:val="20"/>
          <w:szCs w:val="20"/>
          <w:shd w:val="clear" w:color="auto" w:fill="FFFFFF"/>
        </w:rPr>
        <w:t xml:space="preserve">information at all </w:t>
      </w:r>
      <w:r w:rsidR="00EA4E12" w:rsidRPr="00AB5649">
        <w:rPr>
          <w:rStyle w:val="markedcontent"/>
          <w:rFonts w:ascii="Arial" w:hAnsi="Arial" w:cs="Arial"/>
          <w:sz w:val="20"/>
          <w:szCs w:val="20"/>
          <w:shd w:val="clear" w:color="auto" w:fill="FFFFFF"/>
        </w:rPr>
        <w:fldChar w:fldCharType="begin"/>
      </w:r>
      <w:r w:rsidR="002E34D9">
        <w:rPr>
          <w:rStyle w:val="markedcontent"/>
          <w:rFonts w:ascii="Arial" w:hAnsi="Arial" w:cs="Arial"/>
          <w:sz w:val="20"/>
          <w:szCs w:val="20"/>
          <w:shd w:val="clear" w:color="auto" w:fill="FFFFFF"/>
        </w:rPr>
        <w:instrText xml:space="preserve"> ADDIN ZOTERO_ITEM CSL_CITATION {"citationID":"7TWwKZ8m","properties":{"formattedCitation":"[5]","plainCitation":"[5]","noteIndex":0},"citationItems":[{"id":25,"uris":["http://zotero.org/users/local/6IOoLTf8/items/7MGCP8KT"],"itemData":{"id":25,"type":"webpage","abstract":"Even though social media is free to use, research found many US university students would pay to quit it – especially TikTok – if they could beat their fear of missing out.","container-title":"The Conversation","language":"en-AU","title":"Would you pay to quit TikTok and Instagram? You’d be surprised how many would","title-short":"Would you pay to quit TikTok and Instagram?","URL":"http://theconversation.com/would-you-pay-to-quit-tiktok-and-instagram-youd-be-surprised-how-many-would-235180","author":[{"family":"Martin","given":"Peter"}],"accessed":{"date-parts":[["2025",8,22]]},"issued":{"date-parts":[["2024",7,23]]}}}],"schema":"https://github.com/citation-style-language/schema/raw/master/csl-citation.json"} </w:instrText>
      </w:r>
      <w:r w:rsidR="00EA4E12" w:rsidRPr="00AB5649">
        <w:rPr>
          <w:rStyle w:val="markedcontent"/>
          <w:rFonts w:ascii="Arial" w:hAnsi="Arial" w:cs="Arial"/>
          <w:sz w:val="20"/>
          <w:szCs w:val="20"/>
          <w:shd w:val="clear" w:color="auto" w:fill="FFFFFF"/>
        </w:rPr>
        <w:fldChar w:fldCharType="separate"/>
      </w:r>
      <w:r w:rsidR="002E34D9">
        <w:rPr>
          <w:rStyle w:val="markedcontent"/>
          <w:rFonts w:ascii="Arial" w:hAnsi="Arial" w:cs="Arial"/>
          <w:noProof/>
          <w:sz w:val="20"/>
          <w:szCs w:val="20"/>
          <w:shd w:val="clear" w:color="auto" w:fill="FFFFFF"/>
        </w:rPr>
        <w:t>[5]</w:t>
      </w:r>
      <w:r w:rsidR="00EA4E12" w:rsidRPr="00AB5649">
        <w:rPr>
          <w:rStyle w:val="markedcontent"/>
          <w:rFonts w:ascii="Arial" w:hAnsi="Arial" w:cs="Arial"/>
          <w:sz w:val="20"/>
          <w:szCs w:val="20"/>
          <w:shd w:val="clear" w:color="auto" w:fill="FFFFFF"/>
        </w:rPr>
        <w:fldChar w:fldCharType="end"/>
      </w:r>
      <w:r w:rsidRPr="00AB5649">
        <w:rPr>
          <w:rStyle w:val="markedcontent"/>
          <w:rFonts w:ascii="Arial" w:hAnsi="Arial" w:cs="Arial"/>
          <w:sz w:val="20"/>
          <w:szCs w:val="20"/>
          <w:shd w:val="clear" w:color="auto" w:fill="FFFFFF"/>
        </w:rPr>
        <w:t xml:space="preserve">. Use your </w:t>
      </w:r>
      <w:proofErr w:type="spellStart"/>
      <w:r w:rsidRPr="00AB5649">
        <w:rPr>
          <w:rStyle w:val="markedcontent"/>
          <w:rFonts w:ascii="Arial" w:hAnsi="Arial" w:cs="Arial"/>
          <w:sz w:val="20"/>
          <w:szCs w:val="20"/>
          <w:shd w:val="clear" w:color="auto" w:fill="FFFFFF"/>
        </w:rPr>
        <w:t>initiativeto</w:t>
      </w:r>
      <w:proofErr w:type="spellEnd"/>
      <w:r w:rsidRPr="00AB5649">
        <w:rPr>
          <w:rStyle w:val="markedcontent"/>
          <w:rFonts w:ascii="Arial" w:hAnsi="Arial" w:cs="Arial"/>
          <w:sz w:val="20"/>
          <w:szCs w:val="20"/>
          <w:shd w:val="clear" w:color="auto" w:fill="FFFFFF"/>
        </w:rPr>
        <w:t xml:space="preserve"> find the original online source and the appropriate</w:t>
      </w:r>
      <w:r w:rsidR="00EA4E12" w:rsidRPr="00AB5649">
        <w:rPr>
          <w:rFonts w:ascii="Open Sans" w:hAnsi="Open Sans" w:cs="Open Sans" w:hint="eastAsia"/>
          <w:sz w:val="24"/>
          <w:shd w:val="clear" w:color="auto" w:fill="FFFFFF"/>
        </w:rPr>
        <w:t xml:space="preserve"> </w:t>
      </w:r>
      <w:r w:rsidRPr="00AB5649">
        <w:rPr>
          <w:rStyle w:val="markedcontent"/>
          <w:rFonts w:ascii="Arial" w:hAnsi="Arial" w:cs="Arial"/>
          <w:sz w:val="20"/>
          <w:szCs w:val="20"/>
          <w:shd w:val="clear" w:color="auto" w:fill="FFFFFF"/>
        </w:rPr>
        <w:t>reference type and state whether it is a refereed article. Finally, there is a sixth article to find – who</w:t>
      </w:r>
      <w:r w:rsidR="00EA4E12" w:rsidRPr="00AB5649">
        <w:rPr>
          <w:rFonts w:ascii="Open Sans" w:hAnsi="Open Sans" w:cs="Open Sans" w:hint="eastAsia"/>
          <w:sz w:val="24"/>
          <w:shd w:val="clear" w:color="auto" w:fill="FFFFFF"/>
        </w:rPr>
        <w:t xml:space="preserve"> </w:t>
      </w:r>
      <w:r w:rsidRPr="00AB5649">
        <w:rPr>
          <w:rStyle w:val="markedcontent"/>
          <w:rFonts w:ascii="Arial" w:hAnsi="Arial" w:cs="Arial"/>
          <w:sz w:val="20"/>
          <w:szCs w:val="20"/>
          <w:shd w:val="clear" w:color="auto" w:fill="FFFFFF"/>
        </w:rPr>
        <w:t xml:space="preserve">did Peter Martin reference </w:t>
      </w:r>
      <w:r w:rsidR="00EA4E12" w:rsidRPr="00AB5649">
        <w:rPr>
          <w:rStyle w:val="markedcontent"/>
          <w:rFonts w:ascii="Arial" w:hAnsi="Arial" w:cs="Arial"/>
          <w:sz w:val="20"/>
          <w:szCs w:val="20"/>
          <w:shd w:val="clear" w:color="auto" w:fill="FFFFFF"/>
        </w:rPr>
        <w:fldChar w:fldCharType="begin"/>
      </w:r>
      <w:r w:rsidR="002E34D9">
        <w:rPr>
          <w:rStyle w:val="markedcontent"/>
          <w:rFonts w:ascii="Arial" w:hAnsi="Arial" w:cs="Arial"/>
          <w:sz w:val="20"/>
          <w:szCs w:val="20"/>
          <w:shd w:val="clear" w:color="auto" w:fill="FFFFFF"/>
        </w:rPr>
        <w:instrText xml:space="preserve"> ADDIN ZOTERO_ITEM CSL_CITATION {"citationID":"zBj1M9Hc","properties":{"formattedCitation":"[6]","plainCitation":"[6]","noteIndex":0},"citationItems":[{"id":28,"uris":["http://zotero.org/users/local/6IOoLTf8/items/E3KJDT3E"],"itemData":{"id":28,"type":"article-journal","abstract":"Individuals might experience negative utility from not consuming a popular product. For example, being inactive on social media can lead to social exclusion or not owning luxury brands can be associated with having a low social status. We show that, in the presence of such spillovers to non-users, standard measures that take aggregate consumption as given fail to appropriately capture welfare. We propose a new methodology to measure welfare that accounts for these consumption spillovers, which we apply to estimate the consumer surplus of two popular social media platforms, TikTok and Instagram. In large-scale, incentivized experiments with college students, we show that, while the standard welfare measure suggests a large and positive surplus, our measure accounting for consumption spillovers indicates a negative surplus, with a large share of active users deriving negative utility. We also shed light on the drivers of consumption spillovers to non-users in the case of social media and show that, in this setting, the “fear of missing out” plays an important role. Our framework and estimates highlight the possibility of product market traps, where large shares of consumers are trapped in an inefficient equilibrium and would prefer the product not to exist.","language":"en","source":"Zotero","title":"When Product Markets Become Collective Traps: The Case of Social Media","author":[{"family":"Bursztyn","given":"Leonardo"},{"family":"Handel","given":"Benjamin"},{"family":"Jimenez-Duran","given":"Rafael"},{"family":"Roth","given":"Christopher"}]}}],"schema":"https://github.com/citation-style-language/schema/raw/master/csl-citation.json"} </w:instrText>
      </w:r>
      <w:r w:rsidR="00EA4E12" w:rsidRPr="00AB5649">
        <w:rPr>
          <w:rStyle w:val="markedcontent"/>
          <w:rFonts w:ascii="Arial" w:hAnsi="Arial" w:cs="Arial"/>
          <w:sz w:val="20"/>
          <w:szCs w:val="20"/>
          <w:shd w:val="clear" w:color="auto" w:fill="FFFFFF"/>
        </w:rPr>
        <w:fldChar w:fldCharType="separate"/>
      </w:r>
      <w:r w:rsidR="002E34D9">
        <w:rPr>
          <w:rStyle w:val="markedcontent"/>
          <w:rFonts w:ascii="Arial" w:hAnsi="Arial" w:cs="Arial"/>
          <w:noProof/>
          <w:sz w:val="20"/>
          <w:szCs w:val="20"/>
          <w:shd w:val="clear" w:color="auto" w:fill="FFFFFF"/>
        </w:rPr>
        <w:t>[6]</w:t>
      </w:r>
      <w:r w:rsidR="00EA4E12" w:rsidRPr="00AB5649">
        <w:rPr>
          <w:rStyle w:val="markedcontent"/>
          <w:rFonts w:ascii="Arial" w:hAnsi="Arial" w:cs="Arial"/>
          <w:sz w:val="20"/>
          <w:szCs w:val="20"/>
          <w:shd w:val="clear" w:color="auto" w:fill="FFFFFF"/>
        </w:rPr>
        <w:fldChar w:fldCharType="end"/>
      </w:r>
      <w:r w:rsidRPr="00AB5649">
        <w:rPr>
          <w:rStyle w:val="markedcontent"/>
          <w:rFonts w:ascii="Arial" w:hAnsi="Arial" w:cs="Arial"/>
          <w:sz w:val="20"/>
          <w:szCs w:val="20"/>
          <w:shd w:val="clear" w:color="auto" w:fill="FFFFFF"/>
        </w:rPr>
        <w:t>?</w:t>
      </w:r>
    </w:p>
    <w:p w14:paraId="34485D31" w14:textId="77777777" w:rsidR="002E34D9" w:rsidRPr="002E34D9" w:rsidRDefault="00EA4E12" w:rsidP="002E34D9">
      <w:pPr>
        <w:pStyle w:val="ae"/>
        <w:rPr>
          <w:rFonts w:ascii="DengXian" w:eastAsia="DengXian"/>
          <w:sz w:val="20"/>
        </w:rPr>
      </w:pPr>
      <w:r w:rsidRPr="00AB5649">
        <w:rPr>
          <w:sz w:val="20"/>
          <w:szCs w:val="20"/>
        </w:rPr>
        <w:fldChar w:fldCharType="begin"/>
      </w:r>
      <w:r w:rsidR="002E34D9">
        <w:rPr>
          <w:sz w:val="20"/>
          <w:szCs w:val="20"/>
        </w:rPr>
        <w:instrText xml:space="preserve"> ADDIN ZOTERO_BIBL {"uncited":[],"omitted":[],"custom":[]} CSL_BIBLIOGRAPHY </w:instrText>
      </w:r>
      <w:r w:rsidRPr="00AB5649">
        <w:rPr>
          <w:sz w:val="20"/>
          <w:szCs w:val="20"/>
        </w:rPr>
        <w:fldChar w:fldCharType="separate"/>
      </w:r>
      <w:r w:rsidR="002E34D9" w:rsidRPr="002E34D9">
        <w:rPr>
          <w:rFonts w:ascii="DengXian" w:eastAsia="DengXian"/>
          <w:sz w:val="20"/>
        </w:rPr>
        <w:t>[1]</w:t>
      </w:r>
      <w:r w:rsidR="002E34D9" w:rsidRPr="002E34D9">
        <w:rPr>
          <w:rFonts w:ascii="DengXian" w:eastAsia="DengXian"/>
          <w:sz w:val="20"/>
        </w:rPr>
        <w:tab/>
        <w:t xml:space="preserve">C. Cao, D. Bradley, K. Zhou, and T. Beeler, “Real-time high-fidelity facial performance capture,” </w:t>
      </w:r>
      <w:r w:rsidR="002E34D9" w:rsidRPr="002E34D9">
        <w:rPr>
          <w:rFonts w:ascii="DengXian" w:eastAsia="DengXian"/>
          <w:i/>
          <w:iCs/>
          <w:sz w:val="20"/>
        </w:rPr>
        <w:t>ACM Trans Graph</w:t>
      </w:r>
      <w:r w:rsidR="002E34D9" w:rsidRPr="002E34D9">
        <w:rPr>
          <w:rFonts w:ascii="DengXian" w:eastAsia="DengXian"/>
          <w:sz w:val="20"/>
        </w:rPr>
        <w:t xml:space="preserve">, vol. 34, no. 4, pp. 1–9, July 2015, </w:t>
      </w:r>
      <w:proofErr w:type="spellStart"/>
      <w:r w:rsidR="002E34D9" w:rsidRPr="002E34D9">
        <w:rPr>
          <w:rFonts w:ascii="DengXian" w:eastAsia="DengXian"/>
          <w:sz w:val="20"/>
        </w:rPr>
        <w:t>doi</w:t>
      </w:r>
      <w:proofErr w:type="spellEnd"/>
      <w:r w:rsidR="002E34D9" w:rsidRPr="002E34D9">
        <w:rPr>
          <w:rFonts w:ascii="DengXian" w:eastAsia="DengXian"/>
          <w:sz w:val="20"/>
        </w:rPr>
        <w:t>: 10.1145/2766943.</w:t>
      </w:r>
    </w:p>
    <w:p w14:paraId="572BDE2A" w14:textId="77777777" w:rsidR="002E34D9" w:rsidRPr="002E34D9" w:rsidRDefault="002E34D9" w:rsidP="002E34D9">
      <w:pPr>
        <w:pStyle w:val="ae"/>
        <w:rPr>
          <w:rFonts w:ascii="DengXian" w:eastAsia="DengXian"/>
          <w:sz w:val="20"/>
        </w:rPr>
      </w:pPr>
      <w:r w:rsidRPr="002E34D9">
        <w:rPr>
          <w:rFonts w:ascii="DengXian" w:eastAsia="DengXian"/>
          <w:sz w:val="20"/>
        </w:rPr>
        <w:t>[2]</w:t>
      </w:r>
      <w:r w:rsidRPr="002E34D9">
        <w:rPr>
          <w:rFonts w:ascii="DengXian" w:eastAsia="DengXian"/>
          <w:sz w:val="20"/>
        </w:rPr>
        <w:tab/>
        <w:t>F. S. Montalvo, “Aftereffects, adaptation, and plasticity: a neural model for tunable feature space.,” Doctoral dissertation, University of Massachusetts Amherst, ACM Digital Library, 1976.</w:t>
      </w:r>
    </w:p>
    <w:p w14:paraId="48F6E865" w14:textId="77777777" w:rsidR="002E34D9" w:rsidRPr="002E34D9" w:rsidRDefault="002E34D9" w:rsidP="002E34D9">
      <w:pPr>
        <w:pStyle w:val="ae"/>
        <w:rPr>
          <w:rFonts w:ascii="DengXian" w:eastAsia="DengXian"/>
          <w:sz w:val="20"/>
        </w:rPr>
      </w:pPr>
      <w:r w:rsidRPr="002E34D9">
        <w:rPr>
          <w:rFonts w:ascii="DengXian" w:eastAsia="DengXian"/>
          <w:sz w:val="20"/>
        </w:rPr>
        <w:t>[3]</w:t>
      </w:r>
      <w:r w:rsidRPr="002E34D9">
        <w:rPr>
          <w:rFonts w:ascii="DengXian" w:eastAsia="DengXian"/>
          <w:sz w:val="20"/>
        </w:rPr>
        <w:tab/>
        <w:t xml:space="preserve">A. Shrestha and A. Mahmood, “Review of Deep Learning Algorithms and Architectures,” </w:t>
      </w:r>
      <w:r w:rsidRPr="002E34D9">
        <w:rPr>
          <w:rFonts w:ascii="DengXian" w:eastAsia="DengXian"/>
          <w:i/>
          <w:iCs/>
          <w:sz w:val="20"/>
        </w:rPr>
        <w:t>IEEE Access</w:t>
      </w:r>
      <w:r w:rsidRPr="002E34D9">
        <w:rPr>
          <w:rFonts w:ascii="DengXian" w:eastAsia="DengXian"/>
          <w:sz w:val="20"/>
        </w:rPr>
        <w:t xml:space="preserve">, vol. 7, pp. 53040–53065, 2019, </w:t>
      </w:r>
      <w:proofErr w:type="spellStart"/>
      <w:r w:rsidRPr="002E34D9">
        <w:rPr>
          <w:rFonts w:ascii="DengXian" w:eastAsia="DengXian"/>
          <w:sz w:val="20"/>
        </w:rPr>
        <w:t>doi</w:t>
      </w:r>
      <w:proofErr w:type="spellEnd"/>
      <w:r w:rsidRPr="002E34D9">
        <w:rPr>
          <w:rFonts w:ascii="DengXian" w:eastAsia="DengXian"/>
          <w:sz w:val="20"/>
        </w:rPr>
        <w:t>: 10.1109/ACCESS.2019.2912200.</w:t>
      </w:r>
    </w:p>
    <w:p w14:paraId="433E3D30" w14:textId="77777777" w:rsidR="002E34D9" w:rsidRPr="002E34D9" w:rsidRDefault="002E34D9" w:rsidP="002E34D9">
      <w:pPr>
        <w:pStyle w:val="ae"/>
        <w:rPr>
          <w:rFonts w:ascii="DengXian" w:eastAsia="DengXian"/>
          <w:sz w:val="20"/>
        </w:rPr>
      </w:pPr>
      <w:r w:rsidRPr="002E34D9">
        <w:rPr>
          <w:rFonts w:ascii="DengXian" w:eastAsia="DengXian"/>
          <w:sz w:val="20"/>
        </w:rPr>
        <w:t>[4]</w:t>
      </w:r>
      <w:r w:rsidRPr="002E34D9">
        <w:rPr>
          <w:rFonts w:ascii="DengXian" w:eastAsia="DengXian"/>
          <w:sz w:val="20"/>
        </w:rPr>
        <w:tab/>
        <w:t xml:space="preserve">J. Schaeffer, “Search Ideas in Chinook: Games in AI Research,” J. van den </w:t>
      </w:r>
      <w:proofErr w:type="spellStart"/>
      <w:r w:rsidRPr="002E34D9">
        <w:rPr>
          <w:rFonts w:ascii="DengXian" w:eastAsia="DengXian"/>
          <w:sz w:val="20"/>
        </w:rPr>
        <w:t>Herik</w:t>
      </w:r>
      <w:proofErr w:type="spellEnd"/>
      <w:r w:rsidRPr="002E34D9">
        <w:rPr>
          <w:rFonts w:ascii="DengXian" w:eastAsia="DengXian"/>
          <w:sz w:val="20"/>
        </w:rPr>
        <w:t xml:space="preserve"> and I. </w:t>
      </w:r>
      <w:proofErr w:type="spellStart"/>
      <w:r w:rsidRPr="002E34D9">
        <w:rPr>
          <w:rFonts w:ascii="DengXian" w:eastAsia="DengXian"/>
          <w:sz w:val="20"/>
        </w:rPr>
        <w:t>Hiroyu</w:t>
      </w:r>
      <w:proofErr w:type="spellEnd"/>
      <w:r w:rsidRPr="002E34D9">
        <w:rPr>
          <w:rFonts w:ascii="DengXian" w:eastAsia="DengXian"/>
          <w:sz w:val="20"/>
        </w:rPr>
        <w:t>, Eds., Institute for Knowledge and Agent Technology (IKAT), Universiteit of Maastricht, 2000, pp. 19–30.</w:t>
      </w:r>
    </w:p>
    <w:p w14:paraId="45BE33C1" w14:textId="77777777" w:rsidR="002E34D9" w:rsidRPr="002E34D9" w:rsidRDefault="002E34D9" w:rsidP="002E34D9">
      <w:pPr>
        <w:pStyle w:val="ae"/>
        <w:rPr>
          <w:rFonts w:ascii="DengXian" w:eastAsia="DengXian"/>
          <w:sz w:val="20"/>
        </w:rPr>
      </w:pPr>
      <w:r w:rsidRPr="002E34D9">
        <w:rPr>
          <w:rFonts w:ascii="DengXian" w:eastAsia="DengXian"/>
          <w:sz w:val="20"/>
        </w:rPr>
        <w:t>[5]</w:t>
      </w:r>
      <w:r w:rsidRPr="002E34D9">
        <w:rPr>
          <w:rFonts w:ascii="DengXian" w:eastAsia="DengXian"/>
          <w:sz w:val="20"/>
        </w:rPr>
        <w:tab/>
        <w:t>P. Martin, “Would you pay to quit TikTok and Instagram? You’d be surprised how many would,” The Conversation. Accessed: Aug. 22, 2025. [Online]. Available: http://theconversation.com/would-you-pay-to-quit-tiktok-and-instagram-youd-be-surprised-how-many-would-235180</w:t>
      </w:r>
    </w:p>
    <w:p w14:paraId="2CD43A5F" w14:textId="77777777" w:rsidR="002E34D9" w:rsidRPr="002E34D9" w:rsidRDefault="002E34D9" w:rsidP="002E34D9">
      <w:pPr>
        <w:pStyle w:val="ae"/>
        <w:rPr>
          <w:rFonts w:ascii="DengXian" w:eastAsia="DengXian"/>
          <w:sz w:val="20"/>
        </w:rPr>
      </w:pPr>
      <w:r w:rsidRPr="002E34D9">
        <w:rPr>
          <w:rFonts w:ascii="DengXian" w:eastAsia="DengXian"/>
          <w:sz w:val="20"/>
        </w:rPr>
        <w:t>[6]</w:t>
      </w:r>
      <w:r w:rsidRPr="002E34D9">
        <w:rPr>
          <w:rFonts w:ascii="DengXian" w:eastAsia="DengXian"/>
          <w:sz w:val="20"/>
        </w:rPr>
        <w:tab/>
        <w:t xml:space="preserve">L. </w:t>
      </w:r>
      <w:proofErr w:type="spellStart"/>
      <w:r w:rsidRPr="002E34D9">
        <w:rPr>
          <w:rFonts w:ascii="DengXian" w:eastAsia="DengXian"/>
          <w:sz w:val="20"/>
        </w:rPr>
        <w:t>Bursztyn</w:t>
      </w:r>
      <w:proofErr w:type="spellEnd"/>
      <w:r w:rsidRPr="002E34D9">
        <w:rPr>
          <w:rFonts w:ascii="DengXian" w:eastAsia="DengXian"/>
          <w:sz w:val="20"/>
        </w:rPr>
        <w:t>, B. Handel, R. Jimenez-Duran, and C. Roth, “When Product Markets Become Collective Traps: The Case of Social Media”.</w:t>
      </w:r>
    </w:p>
    <w:p w14:paraId="160A84B4" w14:textId="64D01E62" w:rsidR="00EA4E12" w:rsidRPr="00AB5649" w:rsidRDefault="00EA4E12" w:rsidP="002E34D9">
      <w:pPr>
        <w:pStyle w:val="ae"/>
        <w:rPr>
          <w:rFonts w:hint="eastAsia"/>
          <w:sz w:val="20"/>
          <w:szCs w:val="20"/>
        </w:rPr>
      </w:pPr>
      <w:r w:rsidRPr="00AB5649">
        <w:rPr>
          <w:sz w:val="20"/>
          <w:szCs w:val="20"/>
        </w:rPr>
        <w:fldChar w:fldCharType="end"/>
      </w:r>
    </w:p>
    <w:sectPr w:rsidR="00EA4E12" w:rsidRPr="00AB56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F3"/>
    <w:rsid w:val="00112D1A"/>
    <w:rsid w:val="002575F0"/>
    <w:rsid w:val="002E34D9"/>
    <w:rsid w:val="005977E2"/>
    <w:rsid w:val="005D5648"/>
    <w:rsid w:val="00827C30"/>
    <w:rsid w:val="00861844"/>
    <w:rsid w:val="009458BB"/>
    <w:rsid w:val="00A1455D"/>
    <w:rsid w:val="00AB5649"/>
    <w:rsid w:val="00AC73A7"/>
    <w:rsid w:val="00B76874"/>
    <w:rsid w:val="00D4109C"/>
    <w:rsid w:val="00E826F3"/>
    <w:rsid w:val="00EA4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C4442E"/>
  <w15:chartTrackingRefBased/>
  <w15:docId w15:val="{9D60C567-AEB6-EC49-8F94-0549ABC5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826F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826F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826F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826F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826F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826F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826F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826F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826F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26F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826F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826F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826F3"/>
    <w:rPr>
      <w:rFonts w:cstheme="majorBidi"/>
      <w:color w:val="0F4761" w:themeColor="accent1" w:themeShade="BF"/>
      <w:sz w:val="28"/>
      <w:szCs w:val="28"/>
    </w:rPr>
  </w:style>
  <w:style w:type="character" w:customStyle="1" w:styleId="50">
    <w:name w:val="标题 5 字符"/>
    <w:basedOn w:val="a0"/>
    <w:link w:val="5"/>
    <w:uiPriority w:val="9"/>
    <w:semiHidden/>
    <w:rsid w:val="00E826F3"/>
    <w:rPr>
      <w:rFonts w:cstheme="majorBidi"/>
      <w:color w:val="0F4761" w:themeColor="accent1" w:themeShade="BF"/>
      <w:sz w:val="24"/>
    </w:rPr>
  </w:style>
  <w:style w:type="character" w:customStyle="1" w:styleId="60">
    <w:name w:val="标题 6 字符"/>
    <w:basedOn w:val="a0"/>
    <w:link w:val="6"/>
    <w:uiPriority w:val="9"/>
    <w:semiHidden/>
    <w:rsid w:val="00E826F3"/>
    <w:rPr>
      <w:rFonts w:cstheme="majorBidi"/>
      <w:b/>
      <w:bCs/>
      <w:color w:val="0F4761" w:themeColor="accent1" w:themeShade="BF"/>
    </w:rPr>
  </w:style>
  <w:style w:type="character" w:customStyle="1" w:styleId="70">
    <w:name w:val="标题 7 字符"/>
    <w:basedOn w:val="a0"/>
    <w:link w:val="7"/>
    <w:uiPriority w:val="9"/>
    <w:semiHidden/>
    <w:rsid w:val="00E826F3"/>
    <w:rPr>
      <w:rFonts w:cstheme="majorBidi"/>
      <w:b/>
      <w:bCs/>
      <w:color w:val="595959" w:themeColor="text1" w:themeTint="A6"/>
    </w:rPr>
  </w:style>
  <w:style w:type="character" w:customStyle="1" w:styleId="80">
    <w:name w:val="标题 8 字符"/>
    <w:basedOn w:val="a0"/>
    <w:link w:val="8"/>
    <w:uiPriority w:val="9"/>
    <w:semiHidden/>
    <w:rsid w:val="00E826F3"/>
    <w:rPr>
      <w:rFonts w:cstheme="majorBidi"/>
      <w:color w:val="595959" w:themeColor="text1" w:themeTint="A6"/>
    </w:rPr>
  </w:style>
  <w:style w:type="character" w:customStyle="1" w:styleId="90">
    <w:name w:val="标题 9 字符"/>
    <w:basedOn w:val="a0"/>
    <w:link w:val="9"/>
    <w:uiPriority w:val="9"/>
    <w:semiHidden/>
    <w:rsid w:val="00E826F3"/>
    <w:rPr>
      <w:rFonts w:eastAsiaTheme="majorEastAsia" w:cstheme="majorBidi"/>
      <w:color w:val="595959" w:themeColor="text1" w:themeTint="A6"/>
    </w:rPr>
  </w:style>
  <w:style w:type="paragraph" w:styleId="a3">
    <w:name w:val="Title"/>
    <w:basedOn w:val="a"/>
    <w:next w:val="a"/>
    <w:link w:val="a4"/>
    <w:uiPriority w:val="10"/>
    <w:qFormat/>
    <w:rsid w:val="00E826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826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26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826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26F3"/>
    <w:pPr>
      <w:spacing w:before="160"/>
      <w:jc w:val="center"/>
    </w:pPr>
    <w:rPr>
      <w:i/>
      <w:iCs/>
      <w:color w:val="404040" w:themeColor="text1" w:themeTint="BF"/>
    </w:rPr>
  </w:style>
  <w:style w:type="character" w:customStyle="1" w:styleId="a8">
    <w:name w:val="引用 字符"/>
    <w:basedOn w:val="a0"/>
    <w:link w:val="a7"/>
    <w:uiPriority w:val="29"/>
    <w:rsid w:val="00E826F3"/>
    <w:rPr>
      <w:i/>
      <w:iCs/>
      <w:color w:val="404040" w:themeColor="text1" w:themeTint="BF"/>
    </w:rPr>
  </w:style>
  <w:style w:type="paragraph" w:styleId="a9">
    <w:name w:val="List Paragraph"/>
    <w:basedOn w:val="a"/>
    <w:uiPriority w:val="34"/>
    <w:qFormat/>
    <w:rsid w:val="00E826F3"/>
    <w:pPr>
      <w:ind w:left="720"/>
      <w:contextualSpacing/>
    </w:pPr>
  </w:style>
  <w:style w:type="character" w:styleId="aa">
    <w:name w:val="Intense Emphasis"/>
    <w:basedOn w:val="a0"/>
    <w:uiPriority w:val="21"/>
    <w:qFormat/>
    <w:rsid w:val="00E826F3"/>
    <w:rPr>
      <w:i/>
      <w:iCs/>
      <w:color w:val="0F4761" w:themeColor="accent1" w:themeShade="BF"/>
    </w:rPr>
  </w:style>
  <w:style w:type="paragraph" w:styleId="ab">
    <w:name w:val="Intense Quote"/>
    <w:basedOn w:val="a"/>
    <w:next w:val="a"/>
    <w:link w:val="ac"/>
    <w:uiPriority w:val="30"/>
    <w:qFormat/>
    <w:rsid w:val="00E82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826F3"/>
    <w:rPr>
      <w:i/>
      <w:iCs/>
      <w:color w:val="0F4761" w:themeColor="accent1" w:themeShade="BF"/>
    </w:rPr>
  </w:style>
  <w:style w:type="character" w:styleId="ad">
    <w:name w:val="Intense Reference"/>
    <w:basedOn w:val="a0"/>
    <w:uiPriority w:val="32"/>
    <w:qFormat/>
    <w:rsid w:val="00E826F3"/>
    <w:rPr>
      <w:b/>
      <w:bCs/>
      <w:smallCaps/>
      <w:color w:val="0F4761" w:themeColor="accent1" w:themeShade="BF"/>
      <w:spacing w:val="5"/>
    </w:rPr>
  </w:style>
  <w:style w:type="character" w:customStyle="1" w:styleId="markedcontent">
    <w:name w:val="markedcontent"/>
    <w:basedOn w:val="a0"/>
    <w:rsid w:val="00E826F3"/>
  </w:style>
  <w:style w:type="paragraph" w:styleId="ae">
    <w:name w:val="Bibliography"/>
    <w:basedOn w:val="a"/>
    <w:next w:val="a"/>
    <w:uiPriority w:val="37"/>
    <w:unhideWhenUsed/>
    <w:rsid w:val="00EA4E12"/>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Jialin Zhang</dc:creator>
  <cp:keywords/>
  <dc:description/>
  <cp:lastModifiedBy>Jialin Zhang</cp:lastModifiedBy>
  <cp:revision>2</cp:revision>
  <dcterms:created xsi:type="dcterms:W3CDTF">2025-08-22T02:42:00Z</dcterms:created>
  <dcterms:modified xsi:type="dcterms:W3CDTF">2025-08-22T03:45:00Z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id="t7ZTOoTM"/&gt;&lt;style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