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Memo: Q2 FY2025-26 Results</w:t>
      </w:r>
    </w:p>
    <w:p>
      <w:r>
        <w:t>To: Board of Directors, Tarnwick Provisions Pvt Ltd</w:t>
      </w:r>
    </w:p>
    <w:p>
      <w:r>
        <w:t>From: Office of the CFO</w:t>
      </w:r>
    </w:p>
    <w:p>
      <w:r>
        <w:t>Date: 14 October 2025</w:t>
      </w:r>
    </w:p>
    <w:p>
      <w:pPr>
        <w:pStyle w:val="Heading2"/>
      </w:pPr>
      <w:r>
        <w:t>Summary</w:t>
      </w:r>
    </w:p>
    <w:p>
      <w:r>
        <w:t>Revenue for Q2 FY2025-26 was INR 25.1 million, up 31.0% on Q2 of FY2024-25. August was the strongest month of the half-year.</w:t>
      </w:r>
    </w:p>
    <w:p>
      <w:r>
        <w:t>Operating costs for the quarter were INR 15.5 million, or 62.0% of revenue. Marigold Chai contributed 55.9% of quarterly revenue.</w:t>
      </w:r>
    </w:p>
    <w:p>
      <w:pPr>
        <w:pStyle w:val="Heading2"/>
      </w:pPr>
      <w:r>
        <w:t>Outlook</w:t>
      </w:r>
    </w:p>
    <w:p>
      <w:r>
        <w:t>The Q3 FY2025-26 revenue target is INR 28.0 million. Management expects on-time delivery, which averaged 93.4% in Q2, to recover to the 95% target by December.</w:t>
      </w:r>
    </w:p>
    <w:p>
      <w:r>
        <w:t>Capital spend in Q2 was concentrated on packaging machinery and two delivery vans.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Tarnwick Finance (synthetic)</dc:creator>
  <cp:keywords/>
  <dc:description>generated by python-docx</dc:description>
  <cp:lastModifiedBy/>
  <cp:revision>1</cp:revision>
  <dcterms:created xsi:type="dcterms:W3CDTF">2025-10-01T09:00:00Z</dcterms:created>
  <dcterms:modified xsi:type="dcterms:W3CDTF">2025-10-01T09:00:00Z</dcterms:modified>
  <cp:category/>
</cp:coreProperties>
</file>