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754"/>
          <w:sz w:val="58"/>
        </w:rPr>
        <w:t>Local-First Work Intelligence System</w:t>
      </w:r>
    </w:p>
    <w:p>
      <w:pPr>
        <w:spacing w:before="240"/>
        <w:jc w:val="center"/>
      </w:pPr>
      <w:r>
        <w:rPr>
          <w:b/>
          <w:color w:val="2E5F94"/>
          <w:sz w:val="44"/>
        </w:rPr>
        <w:t>System Architecture Document</w:t>
      </w:r>
    </w:p>
    <w:p>
      <w:pPr>
        <w:spacing w:before="300"/>
        <w:jc w:val="center"/>
      </w:pPr>
      <w:r>
        <w:rPr>
          <w:color w:val="505050"/>
          <w:sz w:val="24"/>
        </w:rPr>
        <w:t>SAD  |  Version 1.0</w:t>
      </w:r>
    </w:p>
    <w:p>
      <w:pPr>
        <w:spacing w:before="100"/>
        <w:jc w:val="center"/>
      </w:pPr>
      <w:r>
        <w:rPr>
          <w:color w:val="646464"/>
          <w:sz w:val="20"/>
        </w:rPr>
        <w:t>21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System Architect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Tech Leads, DevOps, Security, Senior Engineers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Core question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Where does data live, how do components connect, and which architectural boundaries protect correctness and trust?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Project status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Architecture defined; implementation and benchmark execution pending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21 September 2026</w:t>
            </w:r>
          </w:p>
        </w:tc>
        <w:tc>
          <w:tcPr>
            <w:tcW w:type="dxa" w:w="2484"/>
          </w:tcPr>
          <w:p>
            <w:r>
              <w:t>Baseline</w:t>
            </w:r>
          </w:p>
        </w:tc>
        <w:tc>
          <w:tcPr>
            <w:tcW w:type="dxa" w:w="2484"/>
          </w:tcPr>
          <w:p>
            <w:r>
              <w:t>Defines the approved project-level baseline for design and delivery.</w:t>
            </w:r>
          </w:p>
        </w:tc>
      </w:tr>
    </w:tbl>
    <w:p>
      <w:pPr>
        <w:pStyle w:val="Small"/>
      </w:pPr>
      <w:r>
        <w:t>This document is intended to evolve under version control. Requirement IDs and architectural decision IDs should remain stable once referenced by downstream documents.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rPr>
                <w:b/>
              </w:rPr>
              <w:t>1. Architecture Overview</w:t>
            </w:r>
          </w:p>
        </w:tc>
        <w:tc>
          <w:tcPr>
            <w:tcW w:type="dxa" w:w="4968"/>
          </w:tcPr>
          <w:p>
            <w:r>
              <w:t>System context and architectural thesis.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2. Architecture Principles</w:t>
            </w:r>
          </w:p>
        </w:tc>
        <w:tc>
          <w:tcPr>
            <w:tcW w:type="dxa" w:w="4968"/>
          </w:tcPr>
          <w:p>
            <w:r>
              <w:t>Non-negotiable boundaries.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3. Logical Architecture</w:t>
            </w:r>
          </w:p>
        </w:tc>
        <w:tc>
          <w:tcPr>
            <w:tcW w:type="dxa" w:w="4968"/>
          </w:tcPr>
          <w:p>
            <w:r>
              <w:t>Components and responsibilities.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4. Data Architecture</w:t>
            </w:r>
          </w:p>
        </w:tc>
        <w:tc>
          <w:tcPr>
            <w:tcW w:type="dxa" w:w="4968"/>
          </w:tcPr>
          <w:p>
            <w:r>
              <w:t>Authoritative vs derived stores and schemas.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5. Ingestion Architecture</w:t>
            </w:r>
          </w:p>
        </w:tc>
        <w:tc>
          <w:tcPr>
            <w:tcW w:type="dxa" w:w="4968"/>
          </w:tcPr>
          <w:p>
            <w:r>
              <w:t>Source lifecycle, parsing, versioning and indexing.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6. Retrieval and Query Architecture</w:t>
            </w:r>
          </w:p>
        </w:tc>
        <w:tc>
          <w:tcPr>
            <w:tcW w:type="dxa" w:w="4968"/>
          </w:tcPr>
          <w:p>
            <w:r>
              <w:t>Fast path, investigation path and evidence resolution.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7. Agent Runtime and Security</w:t>
            </w:r>
          </w:p>
        </w:tc>
        <w:tc>
          <w:tcPr>
            <w:tcW w:type="dxa" w:w="4968"/>
          </w:tcPr>
          <w:p>
            <w:r>
              <w:t>Custom policy gateway, tool boundary and process isolation.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8. Model and Inference Architecture</w:t>
            </w:r>
          </w:p>
        </w:tc>
        <w:tc>
          <w:tcPr>
            <w:tcW w:type="dxa" w:w="4968"/>
          </w:tcPr>
          <w:p>
            <w:r>
              <w:t>Embedding, reranking, generation and provider abstraction.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9. Resource Architecture</w:t>
            </w:r>
          </w:p>
        </w:tc>
        <w:tc>
          <w:tcPr>
            <w:tcW w:type="dxa" w:w="4968"/>
          </w:tcPr>
          <w:p>
            <w:r>
              <w:t>Memory/CPU scheduling and backpressure.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10. Deployment Topologies</w:t>
            </w:r>
          </w:p>
        </w:tc>
        <w:tc>
          <w:tcPr>
            <w:tcW w:type="dxa" w:w="4968"/>
          </w:tcPr>
          <w:p>
            <w:r>
              <w:t>Desktop, on-prem and enterprise evolution.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11. Technology Baseline</w:t>
            </w:r>
          </w:p>
        </w:tc>
        <w:tc>
          <w:tcPr>
            <w:tcW w:type="dxa" w:w="4968"/>
          </w:tcPr>
          <w:p>
            <w:r>
              <w:t>Open-source stack and replaceable adapters.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12. Failure Domains and Recovery</w:t>
            </w:r>
          </w:p>
        </w:tc>
        <w:tc>
          <w:tcPr>
            <w:tcW w:type="dxa" w:w="4968"/>
          </w:tcPr>
          <w:p>
            <w:r>
              <w:t>How the system degrades and rebuilds.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13. Architectural Decisions</w:t>
            </w:r>
          </w:p>
        </w:tc>
        <w:tc>
          <w:tcPr>
            <w:tcW w:type="dxa" w:w="4968"/>
          </w:tcPr>
          <w:p>
            <w:r>
              <w:t>ADR baseline and deferred choices.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14. Evolution Roadmap</w:t>
            </w:r>
          </w:p>
        </w:tc>
        <w:tc>
          <w:tcPr>
            <w:tcW w:type="dxa" w:w="4968"/>
          </w:tcPr>
          <w:p>
            <w:r>
              <w:t>How later phases extend without breaking the foundation.</w:t>
            </w:r>
          </w:p>
        </w:tc>
      </w:tr>
    </w:tbl>
    <w:p>
      <w:r>
        <w:br w:type="page"/>
      </w:r>
    </w:p>
    <w:p>
      <w:pPr>
        <w:pStyle w:val="Heading1"/>
      </w:pPr>
      <w:r>
        <w:t>1. Architecture Overview</w:t>
      </w:r>
    </w:p>
    <w:p>
      <w:r>
        <w:t>The architecture separates the control plane (authorization, lifecycle, trust, resources, audit) from the intelligence plane (retrieval, agent reasoning and model inference). Authoritative evidence is stored independently from all search/index structures so that indexes and models can be replaced without losing provenance or history.</w:t>
      </w:r>
    </w:p>
    <w:p>
      <w:pPr>
        <w:pStyle w:val="CodeBlock"/>
        <w:shd w:fill="F5F5F5"/>
      </w:pPr>
      <w:r>
        <w:t xml:space="preserve">                                    +---------------------+</w:t>
        <w:br/>
        <w:t xml:space="preserve">                                    |       Desktop UI    |</w:t>
        <w:br/>
        <w:t xml:space="preserve">                                    +----------+----------+</w:t>
        <w:br/>
        <w:t xml:space="preserve">                                               |</w:t>
        <w:br/>
        <w:t xml:space="preserve">                                               v</w:t>
        <w:br/>
        <w:t>+------------------+                 +---------+----------+</w:t>
        <w:br/>
        <w:t>| Authorized       |                 | Query / Control    |</w:t>
        <w:br/>
        <w:t>| Sources          |                 | Services           |</w:t>
        <w:br/>
        <w:t>| docs/code/git/   |                 +----+-----------+---+</w:t>
        <w:br/>
        <w:t>| connectors       |                      |           |</w:t>
        <w:br/>
        <w:t>+--------+---------+                      |           v</w:t>
        <w:br/>
        <w:t xml:space="preserve">         |                                |     +-----+-----------+</w:t>
        <w:br/>
        <w:t xml:space="preserve">         v                                |     | DeepAgents      |</w:t>
        <w:br/>
        <w:t>+--------+---------+                      |     | Worker          |</w:t>
        <w:br/>
        <w:t>| Source/Evidence  |                      |     +-----+-----------+</w:t>
        <w:br/>
        <w:t>| Managers         |                      |           |</w:t>
        <w:br/>
        <w:t>+--------+---------+                      |           v</w:t>
        <w:br/>
        <w:t xml:space="preserve">         |                                |     +-----+-----------+</w:t>
        <w:br/>
        <w:t xml:space="preserve">         +----------+                     |     | Policy Gateway  |</w:t>
        <w:br/>
        <w:t xml:space="preserve">                    v                     |     +-----+-----------+</w:t>
        <w:br/>
        <w:t xml:space="preserve">          +---------+----------+          |           |</w:t>
        <w:br/>
        <w:t xml:space="preserve">          | Authoritative      |          |           v</w:t>
        <w:br/>
        <w:t xml:space="preserve">          | SQLite + Encrypted |&lt;---------+----+ Knowledge Tools</w:t>
        <w:br/>
        <w:t xml:space="preserve">          | Evidence Store     |          |</w:t>
        <w:br/>
        <w:t xml:space="preserve">          +---------+----------+          v</w:t>
        <w:br/>
        <w:t xml:space="preserve">                    |              +------+-------+</w:t>
        <w:br/>
        <w:t xml:space="preserve">                    v              | Retrieval    |</w:t>
        <w:br/>
        <w:t xml:space="preserve">          +---------+----------+   | Manager      |</w:t>
        <w:br/>
        <w:t xml:space="preserve">          | Derived Indexes    |&lt;--+--------------+</w:t>
        <w:br/>
        <w:t xml:space="preserve">          | FTS / Vector /     |</w:t>
        <w:br/>
        <w:t xml:space="preserve">          | Code / History /   |          +-------------------+</w:t>
        <w:br/>
        <w:t xml:space="preserve">          | Semantic Graph     |          | Inference Gateway |</w:t>
        <w:br/>
        <w:t xml:space="preserve">          +--------------------+          +---------+---------+</w:t>
        <w:br/>
        <w:t xml:space="preserve">                                                   |</w:t>
        <w:br/>
        <w:t xml:space="preserve">                                                   v</w:t>
        <w:br/>
        <w:t xml:space="preserve">                                          On-prem Model Server</w:t>
      </w:r>
    </w:p>
    <w:p>
      <w:pPr>
        <w:pStyle w:val="Heading1"/>
      </w:pPr>
      <w:r>
        <w:t>2.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152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F3754"/>
          </w:tcPr>
          <w:p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6048"/>
            <w:shd w:fill="1F3754"/>
          </w:tcPr>
          <w:p>
            <w:r>
              <w:rPr>
                <w:b/>
                <w:color w:val="FFFFFF"/>
                <w:sz w:val="17"/>
              </w:rPr>
              <w:t>Architectural consequence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AP-01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Authoritative evidence separated from indexes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FTS/vector/code/graph stores contain references and derived representations only.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AP-02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Policy precedes intelligence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Authorization and tombstone filtering happen before evidence reaches the agent/model.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AP-03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Read-only source boundary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 adapters expose read/list/sync semantics only for core intelligence workflows.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AP-04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Append-oriented version history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New observed content yields a new evidence version and immutable provenance.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AP-05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Small working set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Query path loads bounded candidates/evidence rather than corpus-scale state into RAM.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AP-06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is replaceable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DeepAgents is an orchestration component, not a persistence or security authority.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AP-07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Inference is behind a gateway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Model endpoints, credentials, timeouts and limits are hidden behind provider adapters.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AP-08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state is rebuildable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Every index can be recreated from evidence + metadata + derivation configuration.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AP-09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Fail closed on trust/security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Unknown tools, unauthorized sources, invalid citations and incompatible indexes are rejected.</w:t>
            </w:r>
          </w:p>
        </w:tc>
      </w:tr>
      <w:tr>
        <w:tc>
          <w:tcPr>
            <w:tcW w:type="dxa" w:w="115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AP-10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OSS/no-paid-core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topology does not require commercial SaaS to function.</w:t>
            </w:r>
          </w:p>
        </w:tc>
      </w:tr>
    </w:tbl>
    <w:p>
      <w:pPr>
        <w:pStyle w:val="Heading1"/>
      </w:pPr>
      <w:r>
        <w:t>3.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3754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912"/>
            <w:shd w:fill="1F3754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Desktop Shell/UI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Workspace/source management, query experience, result/citation explorer, settings, status and diagnostics.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Query Service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Receives requests, classifies fast vs investigative path, creates query context/budgets, streams status/results.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Authorization registry, discovery config, connector registration, source state and reconciliation scheduling.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Stable source identity, content hashing, version state, tombstones, provenance and authoritative content references.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Parser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Routes document/code/config inputs to parser adapters and normalizes output to EvidenceUnit.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Index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Transforms EvidenceUnits into lexical/vector/structural/history/graph derived indexes and tracks model/schema versions.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Executes filtered lexical/vector/structural/history retrieval, fusion, optional reranking and candidate budgeting.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Resolver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Dereferences candidate IDs into exact authorized authoritative content ranges and constructs Evidence Bundles.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Policy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Authorization, sensitivity, source authority and read-only tool policy.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Trust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Sufficiency, citation validation, conflict checks, inference labeling and abstention decisions.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Runtime Manager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Runs/restarts bounded DeepAgents worker process and provides tool surface.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Policy Gateway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Validates every agent tool call against allow-list, policy, budgets and query context.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Inference Gateway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Embedding/rerank/generation provider abstraction; endpoint/auth/timeouts/token limits.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 Controller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Global/local memory, CPU, concurrency and priority/backpressure decisions.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Audit/Telemetry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Safe structured event log and OpenTelemetry spans/metrics.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Workflow Scheduler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Coordinates incremental ingestion, retries, periodic reconciliation and deferred maintenance.</w:t>
            </w:r>
          </w:p>
        </w:tc>
      </w:tr>
    </w:tbl>
    <w:p>
      <w:pPr>
        <w:pStyle w:val="Heading1"/>
      </w:pPr>
      <w:r>
        <w:t>4. Data Architecture</w:t>
      </w:r>
    </w:p>
    <w:p>
      <w:pPr>
        <w:pStyle w:val="Heading2"/>
      </w:pPr>
      <w:r>
        <w:t>4.1 Storage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5"/>
              </w:rPr>
              <w:t>Store</w:t>
            </w:r>
          </w:p>
        </w:tc>
        <w:tc>
          <w:tcPr>
            <w:tcW w:type="dxa" w:w="1296"/>
            <w:shd w:fill="1F3754"/>
          </w:tcPr>
          <w:p>
            <w:r>
              <w:rPr>
                <w:b/>
                <w:color w:val="FFFFFF"/>
                <w:sz w:val="15"/>
              </w:rPr>
              <w:t>Authoritative?</w:t>
            </w:r>
          </w:p>
        </w:tc>
        <w:tc>
          <w:tcPr>
            <w:tcW w:type="dxa" w:w="4608"/>
            <w:shd w:fill="1F3754"/>
          </w:tcPr>
          <w:p>
            <w:r>
              <w:rPr>
                <w:b/>
                <w:color w:val="FFFFFF"/>
                <w:sz w:val="15"/>
              </w:rPr>
              <w:t>Contents</w:t>
            </w:r>
          </w:p>
        </w:tc>
        <w:tc>
          <w:tcPr>
            <w:tcW w:type="dxa" w:w="3024"/>
            <w:shd w:fill="1F3754"/>
          </w:tcPr>
          <w:p>
            <w:r>
              <w:rPr>
                <w:b/>
                <w:color w:val="FFFFFF"/>
                <w:sz w:val="15"/>
              </w:rPr>
              <w:t>Technology baseline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Metadata/Control DB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Sources, versions, provenance, state machines, policies, jobs, trust/sensitivity, audit references.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SQLite (single-user); later central DB adapter if enterprise needs it.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 Content Store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Normalized/extracted content, structured payloads and version-addressable bodies.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Encrypted local content store; content-addressed layout preferred.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Lexical Index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Tokenized searchable text + chunk/evidence IDs.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SQLite FTS5.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Vector Index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Embedding vectors + chunk IDs + light filters.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LanceDB primary candidate; Qdrant Edge benchmark challenger.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 Structural Index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Symbols, definitions, references, imports, module/file edges.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Custom relational/graph-like index built from Tree-sitter output.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Git/History Index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Commit/diff/rename metadata and searchable historical relations.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Custom index referencing native Git objects.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Semantic/Temporal Graph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Derived entities/relations with provenance/confidence.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Research/Phase 4 adapter; backend selected only after benchmark.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Metrics/Audit Store</w:t>
            </w:r>
          </w:p>
        </w:tc>
        <w:tc>
          <w:tcPr>
            <w:tcW w:type="dxa" w:w="129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Control/audit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Safe events, spans, durations and action summaries.</w:t>
            </w:r>
          </w:p>
        </w:tc>
        <w:tc>
          <w:tcPr>
            <w:tcW w:type="dxa" w:w="302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SQLite/local logs + OpenTelemetry; enterprise exporters optional.</w:t>
            </w:r>
          </w:p>
        </w:tc>
      </w:tr>
    </w:tbl>
    <w:p>
      <w:pPr>
        <w:pStyle w:val="Heading2"/>
      </w:pPr>
      <w:r>
        <w:t>4.2 Core Entity Relationships</w:t>
      </w:r>
    </w:p>
    <w:p>
      <w:pPr>
        <w:pStyle w:val="CodeBlock"/>
        <w:shd w:fill="F5F5F5"/>
      </w:pPr>
      <w:r>
        <w:t>Workspace</w:t>
        <w:br/>
        <w:t xml:space="preserve">  1 -&gt; many AuthorizedSource</w:t>
        <w:br/>
        <w:t>AuthorizedSource</w:t>
        <w:br/>
        <w:t xml:space="preserve">  1 -&gt; many SourceItem</w:t>
        <w:br/>
        <w:t>SourceItem</w:t>
        <w:br/>
        <w:t xml:space="preserve">  1 -&gt; many EvidenceVersion</w:t>
        <w:br/>
        <w:t>EvidenceVersion</w:t>
        <w:br/>
        <w:t xml:space="preserve">  1 -&gt; many EvidenceUnit</w:t>
        <w:br/>
        <w:t>EvidenceUnit</w:t>
        <w:br/>
        <w:t xml:space="preserve">  1 -&gt; many DerivedChunk/IndexEntry</w:t>
        <w:br/>
        <w:br/>
        <w:t>Query</w:t>
        <w:br/>
        <w:t xml:space="preserve">  -&gt; EvidenceBundle</w:t>
        <w:br/>
        <w:t xml:space="preserve">  -&gt; EvidenceUnit IDs</w:t>
        <w:br/>
        <w:t xml:space="preserve">  -&gt; Citation records</w:t>
        <w:br/>
        <w:br/>
        <w:t>DerivedRelation</w:t>
        <w:br/>
        <w:t xml:space="preserve">  -&gt; supporting EvidenceUnit IDs</w:t>
      </w:r>
    </w:p>
    <w:p>
      <w:pPr>
        <w:pStyle w:val="Heading1"/>
      </w:pPr>
      <w:r>
        <w:t>5. Ingestion Architecture</w:t>
      </w:r>
    </w:p>
    <w:p>
      <w:pPr>
        <w:pStyle w:val="CodeBlock"/>
        <w:shd w:fill="F5F5F5"/>
      </w:pPr>
      <w:r>
        <w:t>Authorize source</w:t>
        <w:br/>
        <w:t xml:space="preserve">   -&gt; discover/list</w:t>
        <w:br/>
        <w:t xml:space="preserve">   -&gt; detect current fingerprint</w:t>
        <w:br/>
        <w:t xml:space="preserve">   -&gt; compare to last evidence version</w:t>
        <w:br/>
        <w:t xml:space="preserve">   -&gt; unchanged? stop</w:t>
        <w:br/>
        <w:t xml:space="preserve">   -&gt; create pending EvidenceVersion</w:t>
        <w:br/>
        <w:t xml:space="preserve">   -&gt; parse/normalize</w:t>
        <w:br/>
        <w:t xml:space="preserve">   -&gt; persist authoritative content</w:t>
        <w:br/>
        <w:t xml:space="preserve">   -&gt; create EvidenceUnits</w:t>
        <w:br/>
        <w:t xml:space="preserve">   -&gt; index lexical/vector/structural/history</w:t>
        <w:br/>
        <w:t xml:space="preserve">   -&gt; validate derived state</w:t>
        <w:br/>
        <w:t xml:space="preserve">   -&gt; mark version indexed/current</w:t>
        <w:br/>
        <w:t xml:space="preserve">   -&gt; emit audit/telemetry</w:t>
        <w:br/>
        <w:br/>
        <w:t>Watcher = low-latency hint</w:t>
        <w:br/>
        <w:t>Reconciliation = correctness backstop</w:t>
      </w:r>
    </w:p>
    <w:p>
      <w:pPr>
        <w:pStyle w:val="Heading2"/>
      </w:pPr>
      <w:r>
        <w:t>5.1 Document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3754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464"/>
            <w:shd w:fill="1F3754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4176"/>
            <w:shd w:fill="1F3754"/>
          </w:tcPr>
          <w:p>
            <w:r>
              <w:rPr>
                <w:b/>
                <w:color w:val="FFFFFF"/>
                <w:sz w:val="17"/>
              </w:rPr>
              <w:t>Resource note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Discovery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pathlib/os.scandir + watchfiles events; exclusions/symlink policy.</w:t>
            </w:r>
          </w:p>
        </w:tc>
        <w:tc>
          <w:tcPr>
            <w:tcW w:type="dxa" w:w="41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Cheap; always-on lightweight.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Fingerprint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stat + SHA-256/content fingerprint.</w:t>
            </w:r>
          </w:p>
        </w:tc>
        <w:tc>
          <w:tcPr>
            <w:tcW w:type="dxa" w:w="41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Streamed; avoid loading whole file.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Parsing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Docling primary, format fallback adapters as needed.</w:t>
            </w:r>
          </w:p>
        </w:tc>
        <w:tc>
          <w:tcPr>
            <w:tcW w:type="dxa" w:w="41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Heavy; isolated/bounded worker, page batches for large OCR.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Normalization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Create EvidenceUnits and structural metadata.</w:t>
            </w:r>
          </w:p>
        </w:tc>
        <w:tc>
          <w:tcPr>
            <w:tcW w:type="dxa" w:w="41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Streaming/iterative where possible.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Batch chunk content via on-prem embedding provider.</w:t>
            </w:r>
          </w:p>
        </w:tc>
        <w:tc>
          <w:tcPr>
            <w:tcW w:type="dxa" w:w="41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Bounded batches, cache by chunk_hash + model_id.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Index commit</w:t>
            </w:r>
          </w:p>
        </w:tc>
        <w:tc>
          <w:tcPr>
            <w:tcW w:type="dxa" w:w="44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FTS + vector/index metadata commit.</w:t>
            </w:r>
          </w:p>
        </w:tc>
        <w:tc>
          <w:tcPr>
            <w:tcW w:type="dxa" w:w="4176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Transactional status tracking; partial failures remain retryable.</w:t>
            </w:r>
          </w:p>
        </w:tc>
      </w:tr>
    </w:tbl>
    <w:p>
      <w:pPr>
        <w:pStyle w:val="Heading2"/>
      </w:pPr>
      <w:r>
        <w:t>5.2 Code/Git Path</w:t>
      </w:r>
    </w:p>
    <w:p>
      <w:r>
        <w:t>Code ingestion extends the same EvidenceVersion lifecycle. Tree-sitter output creates structural facts linked to file/revision evidence. Git history is accessed natively/read-only and indexed as metadata/relationships; exact historical blobs remain addressable by Git object/revision rather than copied into an opaque model store unless retention policy requires a snapshot.</w:t>
      </w:r>
    </w:p>
    <w:p>
      <w:pPr>
        <w:pStyle w:val="Heading2"/>
      </w:pPr>
      <w:r>
        <w:t>5.3 Connector Path</w:t>
      </w:r>
    </w:p>
    <w:p>
      <w:r>
        <w:t>Connector adapters translate provider-specific pagination, cursors, IDs, auth scopes and deletion semantics into a common sync contract. Provider-native IDs remain part of provenance so the UI can deep-link or re-resolve evidence where policy allows.</w:t>
      </w:r>
    </w:p>
    <w:p>
      <w:pPr>
        <w:pStyle w:val="Heading1"/>
      </w:pPr>
      <w:r>
        <w:t>6. Retrieval and Query Architecture</w:t>
      </w:r>
    </w:p>
    <w:p>
      <w:pPr>
        <w:pStyle w:val="Heading2"/>
      </w:pPr>
      <w:r>
        <w:t>6.1 Fast Path</w:t>
      </w:r>
    </w:p>
    <w:p>
      <w:pPr>
        <w:pStyle w:val="CodeBlock"/>
        <w:shd w:fill="F5F5F5"/>
      </w:pPr>
      <w:r>
        <w:t>Question</w:t>
        <w:br/>
        <w:t xml:space="preserve"> -&gt; classify/simple</w:t>
        <w:br/>
        <w:t xml:space="preserve"> -&gt; policy + workspace/source filters</w:t>
        <w:br/>
        <w:t xml:space="preserve"> -&gt; FTS5 top N ----+</w:t>
        <w:br/>
        <w:t xml:space="preserve"> -&gt; Vector top N ---+-&gt; RRF -&gt; optional rerank -&gt; top K IDs</w:t>
        <w:br/>
        <w:t xml:space="preserve"> -&gt; Evidence Resolver -&gt; Evidence Bundle</w:t>
        <w:br/>
        <w:t xml:space="preserve"> -&gt; one generation call</w:t>
        <w:br/>
        <w:t xml:space="preserve"> -&gt; citation/sufficiency validation</w:t>
        <w:br/>
        <w:t xml:space="preserve"> -&gt; answer or abstain</w:t>
      </w:r>
    </w:p>
    <w:p>
      <w:pPr>
        <w:pStyle w:val="Heading2"/>
      </w:pPr>
      <w:r>
        <w:t>6.2 Investigative Path</w:t>
      </w:r>
    </w:p>
    <w:p>
      <w:pPr>
        <w:pStyle w:val="CodeBlock"/>
        <w:shd w:fill="F5F5F5"/>
      </w:pPr>
      <w:r>
        <w:t>Question</w:t>
        <w:br/>
        <w:t xml:space="preserve"> -&gt; classify/complex</w:t>
        <w:br/>
        <w:t xml:space="preserve"> -&gt; initial retrieval + evidence bundle</w:t>
        <w:br/>
        <w:t xml:space="preserve"> -&gt; DeepAgents worker</w:t>
        <w:br/>
        <w:t xml:space="preserve">     -&gt; search_knowledge(...)</w:t>
        <w:br/>
        <w:t xml:space="preserve">     -&gt; read_evidence(...)</w:t>
        <w:br/>
        <w:t xml:space="preserve">     -&gt; compare_versions(...)</w:t>
        <w:br/>
        <w:t xml:space="preserve">     -&gt; code/history tools (later phases)</w:t>
        <w:br/>
        <w:t xml:space="preserve"> -&gt; bounded loop</w:t>
        <w:br/>
        <w:t xml:space="preserve"> -&gt; synthesis</w:t>
        <w:br/>
        <w:t xml:space="preserve"> -&gt; Trust Manager</w:t>
        <w:br/>
        <w:t xml:space="preserve"> -&gt; answer / partial / abstain</w:t>
      </w:r>
    </w:p>
    <w:p>
      <w:pPr>
        <w:pStyle w:val="Heading2"/>
      </w:pPr>
      <w:r>
        <w:t>6.3 Retrieval Fusion</w:t>
      </w:r>
    </w:p>
    <w:p>
      <w:pPr>
        <w:pStyle w:val="ListBullet"/>
      </w:pPr>
      <w:r>
        <w:t>Lexical search handles exact identifiers, phrases and rare tokens well.</w:t>
      </w:r>
    </w:p>
    <w:p>
      <w:pPr>
        <w:pStyle w:val="ListBullet"/>
      </w:pPr>
      <w:r>
        <w:t>Dense vectors handle paraphrase and semantic similarity.</w:t>
      </w:r>
    </w:p>
    <w:p>
      <w:pPr>
        <w:pStyle w:val="ListBullet"/>
      </w:pPr>
      <w:r>
        <w:t>Structural code/history retrievers add deterministic domain evidence in later phases.</w:t>
      </w:r>
    </w:p>
    <w:p>
      <w:pPr>
        <w:pStyle w:val="ListBullet"/>
      </w:pPr>
      <w:r>
        <w:t>RRF is the baseline fusion method because it combines rankings without requiring calibrated raw scores.</w:t>
      </w:r>
    </w:p>
    <w:p>
      <w:pPr>
        <w:pStyle w:val="ListBullet"/>
      </w:pPr>
      <w:r>
        <w:t>Reranking is applied only to a bounded fused set and may be skipped for decisive exact matches.</w:t>
      </w:r>
    </w:p>
    <w:p>
      <w:pPr>
        <w:pStyle w:val="Heading1"/>
      </w:pPr>
      <w:r>
        <w:t>7. Agent Runtime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Custom runtime direction — </w:t>
            </w:r>
            <w:r>
              <w:t>NemoClaw/OpenShell is intentionally left out for now. The product uses a small custom security/control layer rather than rebuilding a general-purpose sandbox platform.</w:t>
            </w:r>
          </w:p>
        </w:tc>
      </w:tr>
    </w:tbl>
    <w:p>
      <w:pPr>
        <w:pStyle w:val="CodeBlock"/>
        <w:shd w:fill="F5F5F5"/>
      </w:pPr>
      <w:r>
        <w:t>DeepAgents Worker</w:t>
        <w:br/>
        <w:t xml:space="preserve">     |</w:t>
        <w:br/>
        <w:t xml:space="preserve">     v</w:t>
        <w:br/>
        <w:t>Agent Policy Gateway</w:t>
        <w:br/>
        <w:t xml:space="preserve">     |-- allow-list tool?</w:t>
        <w:br/>
        <w:t xml:space="preserve">     |-- query budget remaining?</w:t>
        <w:br/>
        <w:t xml:space="preserve">     |-- authorized workspace/source?</w:t>
        <w:br/>
        <w:t xml:space="preserve">     |-- sensitivity policy OK?</w:t>
        <w:br/>
        <w:t xml:space="preserve">     |-- operation read-only?</w:t>
        <w:br/>
        <w:t xml:space="preserve">     v</w:t>
        <w:br/>
        <w:t>Knowledge Tool Gateway</w:t>
        <w:br/>
        <w:t xml:space="preserve">     v</w:t>
        <w:br/>
        <w:t>Knowledge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344"/>
            <w:shd w:fill="1F3754"/>
          </w:tcPr>
          <w:p>
            <w:r>
              <w:rPr>
                <w:b/>
                <w:color w:val="FFFFFF"/>
                <w:sz w:val="17"/>
              </w:rPr>
              <w:t>Design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Tool allow-list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Only explicit knowledge capabilities are registered; startup enumerates tools and fails if unknown dangerous tools exist.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raw filesystem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sees evidence IDs and bounded reads, not arbitrary paths/directories.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shell/code execution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runtime does not expose LocalShellBackend, generic Python execution or equivalent tools.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arbitrary HTTP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cannot browse arbitrary URLs; connectors/model calls are deterministic gateways.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Process isolation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DeepAgents worker runs separately so stuck/leaky reasoning can be terminated independently.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Context isolation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Each query receives immutable workspace/policy/budget context; tool calls cannot widen it.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Prompt injection defense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 text is treated as untrusted data; instructions in evidence never alter tool policy.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Audit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Tool name, safe parameters/IDs, outcome, duration and denial reason are recorded without secret leakage.</w:t>
            </w:r>
          </w:p>
        </w:tc>
      </w:tr>
    </w:tbl>
    <w:p>
      <w:pPr>
        <w:pStyle w:val="Heading1"/>
      </w:pPr>
      <w:r>
        <w:t>8. Model and Inference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shd w:fill="1F3754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032"/>
            <w:shd w:fill="1F3754"/>
          </w:tcPr>
          <w:p>
            <w:r>
              <w:rPr>
                <w:b/>
                <w:color w:val="FFFFFF"/>
                <w:sz w:val="17"/>
              </w:rPr>
              <w:t>Initial baseline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7"/>
              </w:rPr>
              <w:t>Architectural rule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Generation/reasoning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Qwen 30B-class on-prem model (current working baseline: Qwen3-30B-A3B).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Only evidence required for the current query is sent; provider abstracted.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Embeddings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Qwen3-Embedding-0.6B initial benchmark baseline.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Cache by chunk hash + model ID; changing model requires separate/rebuilt vector space.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Reranker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Qwen3-Reranker-0.6B initial benchmark baseline.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Run on small fused set; optional by query path.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Provider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Ollama/on-prem endpoint initially.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DeepAgents does not hold endpoint credentials; Inference Gateway owns configuration.</w:t>
            </w:r>
          </w:p>
        </w:tc>
      </w:tr>
      <w:tr>
        <w:tc>
          <w:tcPr>
            <w:tcW w:type="dxa" w:w="2016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Upgrade tier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4B embedding/reranker variants benchmarked only if quality gains justify compute.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 model size escalation without measurable retrieval benefit.</w:t>
            </w:r>
          </w:p>
        </w:tc>
      </w:tr>
    </w:tbl>
    <w:p>
      <w:pPr>
        <w:pStyle w:val="Heading1"/>
      </w:pPr>
      <w:r>
        <w:t>9. Resource Architecture</w:t>
      </w:r>
    </w:p>
    <w:p>
      <w:pPr>
        <w:pStyle w:val="CodeBlock"/>
        <w:shd w:fill="F5F5F5"/>
      </w:pPr>
      <w:r>
        <w:t xml:space="preserve">                    Resource Controller</w:t>
        <w:br/>
        <w:t xml:space="preserve">             /            |             \</w:t>
        <w:br/>
        <w:t xml:space="preserve">      Query priority   Worker limits   Memory thresholds</w:t>
        <w:br/>
        <w:t xml:space="preserve">            |               |               |</w:t>
        <w:br/>
        <w:t xml:space="preserve">            v               v               v</w:t>
        <w:br/>
        <w:t xml:space="preserve">        retrieval       parse/embed      pause/throttle</w:t>
        <w:br/>
        <w:t xml:space="preserve">                                           background</w:t>
        <w:br/>
        <w:br/>
        <w:t>Persistent corpus -&gt; disk</w:t>
        <w:br/>
        <w:t>Current working set -&gt; 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7488"/>
            <w:shd w:fill="1F3754"/>
          </w:tcPr>
          <w:p>
            <w:r>
              <w:rPr>
                <w:b/>
                <w:color w:val="FFFFFF"/>
                <w:sz w:val="17"/>
              </w:rPr>
              <w:t>Controller behavior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Normal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Background ingestion and query execution run within configured concurrency/batch limits.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Elevated memory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Shrink future batches and delay noncritical prefetch/rerank work.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High memory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Pause new parser/OCR/index jobs; interactive queries retain priority.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Reject/defer heavy background work, cancel expendable jobs and preserve query/control plane.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Query arrives during ingestion</w:t>
            </w:r>
          </w:p>
        </w:tc>
        <w:tc>
          <w:tcPr>
            <w:tcW w:type="dxa" w:w="748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Reduce/pause background CPU/memory pressure, complete interactive query, then resume queue.</w:t>
            </w:r>
          </w:p>
        </w:tc>
      </w:tr>
    </w:tbl>
    <w:p>
      <w:pPr>
        <w:pStyle w:val="Heading1"/>
      </w:pPr>
      <w:r>
        <w:t>10. Deployment Topologies</w:t>
      </w:r>
    </w:p>
    <w:p>
      <w:pPr>
        <w:pStyle w:val="Heading2"/>
      </w:pPr>
      <w:r>
        <w:t>10.1 Single-user Desktop</w:t>
      </w:r>
    </w:p>
    <w:p>
      <w:pPr>
        <w:pStyle w:val="CodeBlock"/>
        <w:shd w:fill="F5F5F5"/>
      </w:pPr>
      <w:r>
        <w:t>Desktop UI (Tauri/React)</w:t>
        <w:br/>
        <w:t xml:space="preserve">   |</w:t>
        <w:br/>
        <w:t>Python Knowledge Engine sidecar</w:t>
        <w:br/>
        <w:t xml:space="preserve">   |-- SQLite / FTS5</w:t>
        <w:br/>
        <w:t xml:space="preserve">   |-- encrypted evidence store</w:t>
        <w:br/>
        <w:t xml:space="preserve">   |-- LanceDB/Qdrant Edge</w:t>
        <w:br/>
        <w:t xml:space="preserve">   |-- workers</w:t>
        <w:br/>
        <w:t xml:space="preserve">   +--&gt; internal network --&gt; On-prem Ollama/model server</w:t>
      </w:r>
    </w:p>
    <w:p>
      <w:pPr>
        <w:pStyle w:val="Heading2"/>
      </w:pPr>
      <w:r>
        <w:t>10.2 Fully Local Variant</w:t>
      </w:r>
    </w:p>
    <w:p>
      <w:r>
        <w:t>The inference provider may point to a local model server where hardware permits. This increases local RAM/VRAM pressure but does not change the application interfaces.</w:t>
      </w:r>
    </w:p>
    <w:p>
      <w:pPr>
        <w:pStyle w:val="Heading2"/>
      </w:pPr>
      <w:r>
        <w:t>10.3 Enterprise Central Deployment</w:t>
      </w:r>
    </w:p>
    <w:p>
      <w:r>
        <w:t>Later enterprise mode separates API/control services, shared storage/index services and worker pools. Fine-grained authorization, enterprise secret storage, centralized telemetry and potentially Qdrant Server or another service-mode vector backend can be introduced behind existing adapters.</w:t>
      </w:r>
    </w:p>
    <w:p>
      <w:pPr>
        <w:pStyle w:val="Heading1"/>
      </w:pPr>
      <w:r>
        <w:t>11.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F3754"/>
          </w:tcPr>
          <w:p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type="dxa" w:w="3168"/>
            <w:shd w:fill="1F3754"/>
          </w:tcPr>
          <w:p>
            <w:r>
              <w:rPr>
                <w:b/>
                <w:color w:val="FFFFFF"/>
                <w:sz w:val="15"/>
              </w:rPr>
              <w:t>Baseline</w:t>
            </w:r>
          </w:p>
        </w:tc>
        <w:tc>
          <w:tcPr>
            <w:tcW w:type="dxa" w:w="4608"/>
            <w:shd w:fill="1F3754"/>
          </w:tcPr>
          <w:p>
            <w:r>
              <w:rPr>
                <w:b/>
                <w:color w:val="FFFFFF"/>
                <w:sz w:val="15"/>
              </w:rPr>
              <w:t>Why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Desktop UI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Tauri + React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Lightweight OSS desktop shell; web UI ergonomics without bundling a full browser runtime.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Backend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Python 3.12+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Best ecosystem for Docling, LlamaIndex, AI retrieval and data tooling.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Schemas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Pydantic v2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Typed request/event/evidence models and validation.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Metadata DB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SQLite + SQLAlchemy + Alembic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Embedded, transactional, mature and migration-friendly.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Lexical search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SQLite FTS5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Embedded BM25/exact text retrieval.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Document parser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Docling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Structure-aware multi-format parsing/OCR integration.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Vector DB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LanceDB candidate; Qdrant Edge challenger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Embedded/on-disk semantic index; benchmark-gated.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RAG plumbing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LlamaIndex selective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Nodes/ingestion/retriever/fusion integrations without owning lifecycle.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Agent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DeepAgents + LangChain/LangGraph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Bounded multi-step orchestration above Knowledge Engine.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File events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watchfiles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Low-latency filesystem change hints.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OpenTelemetry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Open, vendor-neutral traces/metrics.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Resource monitoring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psutil + custom controller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Direct access to process/system resource state.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Secrets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OS keyring initially; OpenBao later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 plaintext secret storage in metadata DB.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Authz later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OpenFGA adapter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Relationship-based fine-grained enterprise authorization.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Packaging</w:t>
            </w:r>
          </w:p>
        </w:tc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Tauri bundle + Python sidecar packaging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No paid runtime requirement; packaging spike validates native dependencies.</w:t>
            </w:r>
          </w:p>
        </w:tc>
      </w:tr>
    </w:tbl>
    <w:p>
      <w:pPr>
        <w:pStyle w:val="Heading1"/>
      </w:pPr>
      <w:r>
        <w:t>12. Failure Domains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F3754"/>
          </w:tcPr>
          <w:p>
            <w:r>
              <w:rPr>
                <w:b/>
                <w:color w:val="FFFFFF"/>
                <w:sz w:val="17"/>
              </w:rPr>
              <w:t>Failure domain</w:t>
            </w:r>
          </w:p>
        </w:tc>
        <w:tc>
          <w:tcPr>
            <w:tcW w:type="dxa" w:w="3744"/>
            <w:shd w:fill="1F3754"/>
          </w:tcPr>
          <w:p>
            <w:r>
              <w:rPr>
                <w:b/>
                <w:color w:val="FFFFFF"/>
                <w:sz w:val="17"/>
              </w:rPr>
              <w:t>Containment</w:t>
            </w:r>
          </w:p>
        </w:tc>
        <w:tc>
          <w:tcPr>
            <w:tcW w:type="dxa" w:w="4032"/>
            <w:shd w:fill="1F3754"/>
          </w:tcPr>
          <w:p>
            <w:r>
              <w:rPr>
                <w:b/>
                <w:color w:val="FFFFFF"/>
                <w:sz w:val="17"/>
              </w:rPr>
              <w:t>Recovery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Parser worker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Separate job/worker; evidence version remains non-indexed.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Retry/fallback/quarantine; no KB corruption.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Embedding/reranker service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Provider timeout isolated from evidence storage.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Retry/defer; lexical-only degraded retrieval if permitted.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Vector index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store only.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Rebuild from EvidenceUnits/embedding cache or switch adapter.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worker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Separate process and bounded query state.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Kill/restart; re-run query if user requests.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Model server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Inference gateway health/failure state.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Return evidence-only/degraded status; no silent cloud fallback.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SQLite/control DB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Critical authoritative metadata.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Transactional writes, WAL, backups and integrity checks.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store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Critical authoritative content.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Checksums, encrypted content refs, backup/restore and corruption detection.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Watcher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Non-authoritative optimization.</w:t>
            </w:r>
          </w:p>
        </w:tc>
        <w:tc>
          <w:tcPr>
            <w:tcW w:type="dxa" w:w="40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Periodic reconciliation discovers missed changes.</w:t>
            </w:r>
          </w:p>
        </w:tc>
      </w:tr>
    </w:tbl>
    <w:p>
      <w:pPr>
        <w:pStyle w:val="Heading1"/>
      </w:pPr>
      <w:r>
        <w:t>13. Architectural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1F375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6768"/>
            <w:shd w:fill="1F3754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728"/>
            <w:shd w:fill="1F3754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ADR-001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 store is authoritative; indexes are derived.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ADR-002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Read-only source access is a core invariant.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ADR-003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SQLite + encrypted content store are authoritative single-user storage baseline.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ADR-004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FTS5 provides lexical retrieval.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ADR-005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Vector backend is embedded and benchmark-gated: LanceDB primary, Qdrant Edge challenger.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Pending benchmark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ADR-006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LlamaIndex is used selectively inside index/retrieval managers, not as lifecycle owner.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ADR-007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DeepAgents is orchestration only; custom policy gateway controls tools.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ADR-008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NemoClaw/OpenShell excluded from current baseline; custom lightweight control layer used.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 for current plan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ADR-009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On-prem model service is default; no mandatory public-cloud inference.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ADR-010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0.6B Qwen embedding/reranker tier is initial benchmark baseline.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Pending benchmark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ADR-011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Tree-sitter/native Git introduced in Phase 2.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 direction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ADR-012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Semantic graph remains derived/research until it proves benchmark value.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  <w:tr>
        <w:tc>
          <w:tcPr>
            <w:tcW w:type="dxa" w:w="144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ADR-013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Core application must be OSS/no-mandatory-paid-service.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Accepted</w:t>
            </w:r>
          </w:p>
        </w:tc>
      </w:tr>
    </w:tbl>
    <w:p>
      <w:pPr>
        <w:pStyle w:val="Heading1"/>
      </w:pPr>
      <w:r>
        <w:t>14. Evolution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880"/>
            <w:shd w:fill="1F3754"/>
          </w:tcPr>
          <w:p>
            <w:r>
              <w:rPr>
                <w:b/>
                <w:color w:val="FFFFFF"/>
                <w:sz w:val="17"/>
              </w:rPr>
              <w:t>Current foundation</w:t>
            </w:r>
          </w:p>
        </w:tc>
        <w:tc>
          <w:tcPr>
            <w:tcW w:type="dxa" w:w="3312"/>
            <w:shd w:fill="1F3754"/>
          </w:tcPr>
          <w:p>
            <w:r>
              <w:rPr>
                <w:b/>
                <w:color w:val="FFFFFF"/>
                <w:sz w:val="17"/>
              </w:rPr>
              <w:t>Extension</w:t>
            </w:r>
          </w:p>
        </w:tc>
        <w:tc>
          <w:tcPr>
            <w:tcW w:type="dxa" w:w="3744"/>
            <w:shd w:fill="1F3754"/>
          </w:tcPr>
          <w:p>
            <w:r>
              <w:rPr>
                <w:b/>
                <w:color w:val="FFFFFF"/>
                <w:sz w:val="17"/>
              </w:rPr>
              <w:t>Why architecture survives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EvidenceUnit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Code/Git evidence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Same source/version/provenance lifecycle; new structural indexes are derived.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 Manager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Code/history retrievers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Adds retrievers/fusion inputs without changing authoritative storage.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adapter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Teams/Jira/SharePoint/etc.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Provider specifics normalize to common source/evidence contracts.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Policy Manager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Multi-user/OpenFGA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Authorization backend changes behind policy interface.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Inference Gateway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Ollama → vLLM/other on-prem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Provider swap does not change agent/knowledge contracts.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Vector adapter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LanceDB → Qdrant service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Rebuild derived vectors; source truth stays intact.</w:t>
            </w:r>
          </w:p>
        </w:tc>
      </w:tr>
      <w:tr>
        <w:tc>
          <w:tcPr>
            <w:tcW w:type="dxa" w:w="288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Derived graph</w:t>
            </w:r>
          </w:p>
        </w:tc>
        <w:tc>
          <w:tcPr>
            <w:tcW w:type="dxa" w:w="33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Temporal work memory</w:t>
            </w:r>
          </w:p>
        </w:tc>
        <w:tc>
          <w:tcPr>
            <w:tcW w:type="dxa" w:w="37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Relations point to evidence IDs and can be rebuilt/retracted.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Version 1.0  |  21 September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Local-First Work Intelligence System  |  SAD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5F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7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Liberation Mono" w:hAnsi="Liberation Mono"/>
      <w:sz w:val="17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